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beforeLines="50" w:afterLines="50" w:line="560" w:lineRule="exact"/>
        <w:jc w:val="center"/>
        <w:rPr>
          <w:rFonts w:hint="eastAsia" w:ascii="方正小标宋简体" w:hAnsi="Times New Roman" w:eastAsia="仿宋" w:cs="Times New Roman"/>
          <w:sz w:val="32"/>
          <w:szCs w:val="32"/>
        </w:rPr>
      </w:pPr>
      <w:r>
        <w:rPr>
          <w:rFonts w:ascii="方正小标宋简体" w:hAnsi="Times New Roman" w:eastAsia="仿宋" w:cs="Times New Roman"/>
          <w:sz w:val="44"/>
          <w:szCs w:val="44"/>
        </w:rPr>
        <w:t>疫苗安全事件分级标准和响应级别</w:t>
      </w:r>
    </w:p>
    <w:tbl>
      <w:tblPr>
        <w:tblStyle w:val="10"/>
        <w:tblW w:w="91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104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事件类别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分级标准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响应级别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特别重大疫苗安全事件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符合下列情形之一的：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1.同一批号疫苗短期内引起5例以上患者死亡，疑似与质量相关的事件；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在相对集中的时间和区域内，批号相对集中的同一疫苗引起临床表现相似的，且罕见或非预期的不良事件的人数超过20人；或者引起特别严重不良事件（可能对人体造成永久性伤残、对器官功能造成永久性损伤或危及生命）超过5人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3.其他危害特别严重且引发社会影响的疫苗安全突发事件。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I级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重大疫苗安全事件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符合下列情形之一的：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1.同一批号疫苗短期内引起2例以上、5例以下患者死亡，疑似与质量相关的事件；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在相对集中的时间和区域内，批号相对集中的同一疫苗引起临床表现相似的，且罕见或非预期的不良事件的人数超过10人、不多于20人；或者引起特别严重不良事件（可能对人体造成永久性伤残、对器官功能造成永久性损伤或危及生命）超过3人、不多于5人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3.确认出现质量问题，涉及2个以上省份的；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4.其他危害严重且引发社会影响的疫苗安全突发事件。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Ⅱ级响应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较大疫苗安全事件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符合下列情形之一的：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1.同一批号疫苗短期内引起1例患者死亡，疑似与质量相关的事件；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在相对集中的时间和区域内，批号相对集中的同一疫苗引起临床表现相似的，且罕见或非预期的不良事件的人数超过5人、不多于10人；或者引起特别严重不良事件（可能对人体造成永久性伤残、对器官功能造成永久性损伤或危及生命）超过2人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3.确认出现质量问题，涉及1个省份的；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4.其他危害较大且引发社会影响局限于某一省份的疫苗安全突发事件。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Ⅲ级响应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一般疫苗安全事件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符合下列情形之一的：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在相对集中的时间和区域内，批号相对集中的同一疫苗引起临床表现相似的，且罕见或非预期的不良事件的人数超过3人、不多于5人；或者引起特别严重不良事件（可能对人体造成永久性伤残、对器官功能造成永久性损伤或危及生命）超过1人，疑似与质量相关的事件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2.其他一般疫苗安全事件。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Ⅳ级响应</w:t>
            </w:r>
          </w:p>
        </w:tc>
      </w:tr>
    </w:tbl>
    <w:p>
      <w:pPr>
        <w:spacing w:line="560" w:lineRule="exact"/>
        <w:jc w:val="left"/>
        <w:outlineLvl w:val="0"/>
        <w:rPr>
          <w:rFonts w:hint="eastAsia" w:ascii="楷体" w:hAnsi="楷体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beforeLines="50" w:afterLines="50" w:line="560" w:lineRule="exact"/>
        <w:jc w:val="center"/>
        <w:rPr>
          <w:rFonts w:hint="eastAsia" w:ascii="方正小标宋简体" w:hAnsi="宋体" w:eastAsia="仿宋" w:cs="Times New Roman"/>
          <w:sz w:val="36"/>
          <w:szCs w:val="36"/>
        </w:rPr>
      </w:pPr>
      <w:r>
        <w:rPr>
          <w:rFonts w:ascii="方正小标宋简体" w:hAnsi="宋体" w:eastAsia="仿宋" w:cs="Times New Roman"/>
          <w:sz w:val="44"/>
          <w:szCs w:val="44"/>
        </w:rPr>
        <w:t>疫苗安全重大信息报告表（初报）</w:t>
      </w:r>
    </w:p>
    <w:tbl>
      <w:tblPr>
        <w:tblStyle w:val="10"/>
        <w:tblW w:w="94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130"/>
        <w:gridCol w:w="213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事件名称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事发地点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涉及单位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发生时间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×年×月×日×时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初判等级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 ）一般（ Ⅳ级  ）    （   ）较大（ Ⅲ级 ）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 ）重大（ Ⅱ级  ）    （   ）特大（Ⅰ级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9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基本情况：（主要包括事件概况，报告和通报情况，已采取的措施等）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报告单位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报告时间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报告人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手机：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 务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说明：本表可根据情况多页填写。</w:t>
      </w:r>
    </w:p>
    <w:p>
      <w:pPr>
        <w:spacing w:line="560" w:lineRule="exact"/>
        <w:jc w:val="left"/>
        <w:outlineLvl w:val="0"/>
        <w:rPr>
          <w:rFonts w:hint="eastAsia" w:ascii="楷体" w:hAnsi="楷体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beforeLines="50" w:afterLines="50" w:line="560" w:lineRule="exact"/>
        <w:jc w:val="center"/>
        <w:rPr>
          <w:rFonts w:hint="eastAsia" w:ascii="方正小标宋简体" w:hAnsi="宋体" w:eastAsia="仿宋" w:cs="Times New Roman"/>
          <w:sz w:val="44"/>
          <w:szCs w:val="44"/>
        </w:rPr>
      </w:pPr>
      <w:r>
        <w:rPr>
          <w:rFonts w:ascii="方正小标宋简体" w:hAnsi="宋体" w:eastAsia="仿宋" w:cs="Times New Roman"/>
          <w:sz w:val="44"/>
          <w:szCs w:val="44"/>
        </w:rPr>
        <w:t>疫苗安全重大信息报告表（续报）</w:t>
      </w:r>
    </w:p>
    <w:tbl>
      <w:tblPr>
        <w:tblStyle w:val="10"/>
        <w:tblW w:w="9540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776"/>
        <w:gridCol w:w="2130"/>
        <w:gridCol w:w="1504"/>
        <w:gridCol w:w="3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事件名称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当前事件等级判断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√）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 ）一般（Ⅳ级）    （   ）较大（Ⅲ级）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 ）重大（Ⅱ级）    （   ）特大（Ⅰ级）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事件进展情况：（主要包括事件调查核实情况，处置进展情况等）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续报单位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续报时间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报告人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手机：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 务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说明：本表可根据情况多页填写。</w:t>
      </w:r>
    </w:p>
    <w:p>
      <w:pPr>
        <w:spacing w:line="560" w:lineRule="exact"/>
        <w:jc w:val="left"/>
        <w:rPr>
          <w:rFonts w:hint="eastAsia" w:ascii="楷体" w:hAnsi="楷体" w:eastAsia="楷体" w:cs="Times New Roman"/>
          <w:spacing w:val="21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spacing w:val="21"/>
          <w:kern w:val="0"/>
          <w:sz w:val="32"/>
          <w:szCs w:val="32"/>
        </w:rPr>
        <w:t xml:space="preserve"> </w:t>
      </w: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仿宋" w:cs="Times New Roman"/>
          <w:b/>
          <w:bCs/>
          <w:color w:val="FF0000"/>
          <w:sz w:val="52"/>
          <w:szCs w:val="52"/>
        </w:rPr>
      </w:pPr>
      <w:r>
        <w:rPr>
          <w:rFonts w:ascii="方正小标宋简体" w:hAnsi="方正小标宋简体" w:eastAsia="仿宋" w:cs="Times New Roman"/>
          <w:b/>
          <w:bCs/>
          <w:color w:val="FF0000"/>
          <w:kern w:val="0"/>
          <w:sz w:val="52"/>
          <w:szCs w:val="52"/>
        </w:rPr>
        <w:t>疫苗安全突发事件信息报告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10"/>
        <w:tblW w:w="895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59" w:type="dxa"/>
            <w:tcBorders>
              <w:bottom w:val="single" w:color="auto" w:sz="12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仿宋_GB2312" w:hAnsi="Times New Roman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  <w:t>揭阳市揭东区市场监督管理局</w:t>
            </w:r>
            <w:r>
              <w:rPr>
                <w:rFonts w:hint="eastAsia" w:ascii="楷体" w:hAnsi="楷体" w:eastAsia="楷体" w:cs="Times New Roman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32"/>
                <w:szCs w:val="32"/>
              </w:rPr>
              <w:t>签发人：</w:t>
            </w:r>
          </w:p>
        </w:tc>
      </w:tr>
    </w:tbl>
    <w:p>
      <w:pPr>
        <w:spacing w:line="560" w:lineRule="exact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仿宋" w:cs="Times New Roman"/>
          <w:sz w:val="44"/>
          <w:szCs w:val="44"/>
        </w:rPr>
      </w:pPr>
      <w:r>
        <w:rPr>
          <w:rFonts w:ascii="方正小标宋简体" w:hAnsi="方正小标宋简体" w:eastAsia="仿宋" w:cs="Times New Roman"/>
          <w:kern w:val="0"/>
          <w:sz w:val="44"/>
          <w:szCs w:val="44"/>
        </w:rPr>
        <w:t>（标题</w:t>
      </w:r>
      <w:r>
        <w:rPr>
          <w:rFonts w:ascii="方正小标宋简体" w:hAnsi="方正小标宋简体" w:eastAsia="仿宋" w:cs="Times New Roman"/>
          <w:spacing w:val="-2"/>
          <w:kern w:val="0"/>
          <w:sz w:val="44"/>
          <w:szCs w:val="44"/>
        </w:rPr>
        <w:t>）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（正文按公文格式排版</w:t>
      </w:r>
      <w:r>
        <w:rPr>
          <w:rFonts w:hint="eastAsia" w:ascii="仿宋" w:hAnsi="仿宋" w:eastAsia="仿宋" w:cs="Times New Roman"/>
          <w:spacing w:val="3"/>
          <w:kern w:val="0"/>
          <w:sz w:val="32"/>
          <w:szCs w:val="32"/>
        </w:rPr>
        <w:t>）</w:t>
      </w:r>
    </w:p>
    <w:p>
      <w:pPr>
        <w:spacing w:line="560" w:lineRule="exact"/>
        <w:jc w:val="left"/>
        <w:rPr>
          <w:rFonts w:hint="eastAsia"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Times New Roman" w:eastAsia="仿宋" w:cs="Times New Roman"/>
          <w:sz w:val="32"/>
          <w:szCs w:val="32"/>
        </w:rPr>
      </w:pPr>
      <w:r>
        <w:rPr>
          <w:rFonts w:ascii="仿宋_GB2312" w:hAnsi="Times New Roman" w:eastAsia="仿宋" w:cs="Times New Roman"/>
          <w:sz w:val="32"/>
          <w:szCs w:val="32"/>
        </w:rPr>
        <w:t xml:space="preserve"> </w:t>
      </w:r>
    </w:p>
    <w:tbl>
      <w:tblPr>
        <w:tblStyle w:val="10"/>
        <w:tblW w:w="895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959" w:type="dxa"/>
            <w:tcBorders>
              <w:bottom w:val="single" w:color="auto" w:sz="12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仿宋_GB2312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0"/>
                <w:sz w:val="32"/>
                <w:szCs w:val="32"/>
              </w:rPr>
              <w:t>主送：揭阳市揭东区人民政府             抄报</w:t>
            </w:r>
            <w:r>
              <w:rPr>
                <w:rFonts w:hint="eastAsia" w:ascii="楷体" w:hAnsi="楷体" w:eastAsia="楷体" w:cs="Times New Roman"/>
                <w:spacing w:val="17"/>
                <w:kern w:val="0"/>
                <w:sz w:val="32"/>
                <w:szCs w:val="32"/>
              </w:rPr>
              <w:t>：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sz w:val="32"/>
          <w:szCs w:val="32"/>
        </w:rPr>
        <w:sectPr>
          <w:footerReference r:id="rId3" w:type="default"/>
          <w:pgSz w:w="11906" w:h="16838"/>
          <w:pgMar w:top="1587" w:right="1587" w:bottom="1474" w:left="1587" w:header="720" w:footer="720" w:gutter="0"/>
          <w:pgNumType w:fmt="numberInDash" w:start="21"/>
          <w:cols w:space="720" w:num="1"/>
          <w:docGrid w:type="lines" w:linePitch="620" w:charSpace="0"/>
        </w:sect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/>
        <w:keepLines/>
        <w:spacing w:line="560" w:lineRule="exact"/>
        <w:jc w:val="center"/>
        <w:outlineLvl w:val="1"/>
        <w:rPr>
          <w:rFonts w:hint="eastAsia" w:ascii="方正小标宋简体" w:hAnsi="方正小标宋简体" w:eastAsia="仿宋" w:cs="Times New Roman"/>
          <w:sz w:val="44"/>
          <w:szCs w:val="44"/>
        </w:rPr>
      </w:pPr>
      <w:r>
        <w:rPr>
          <w:rFonts w:ascii="方正小标宋简体" w:hAnsi="方正小标宋简体" w:eastAsia="仿宋" w:cs="Times New Roman"/>
          <w:sz w:val="44"/>
          <w:szCs w:val="44"/>
        </w:rPr>
        <w:t>一般疫苗安全事件应急处置流程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8629650" cy="3629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  <w:sectPr>
          <w:pgSz w:w="16838" w:h="11906" w:orient="landscape"/>
          <w:pgMar w:top="1587" w:right="2098" w:bottom="1474" w:left="1984" w:header="720" w:footer="720" w:gutter="0"/>
          <w:pgNumType w:fmt="numberInDash"/>
          <w:cols w:space="720" w:num="1"/>
          <w:docGrid w:type="lines" w:linePitch="327" w:charSpace="0"/>
        </w:sect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公开方式：主动公开</w:t>
      </w:r>
    </w:p>
    <w:p>
      <w:pPr>
        <w:pStyle w:val="19"/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</w:p>
    <w:p>
      <w:pPr>
        <w:pStyle w:val="19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840" w:hangingChars="3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0305" y="8484235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2.05pt;height:0pt;width:414pt;z-index:251661312;mso-width-relative:page;mso-height-relative:page;" filled="f" stroked="t" coordsize="21600,21600" o:gfxdata="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bMuY0QAAAAUBAAAPAAAA&#10;AAAAAAEAIAAAACIAAABkcnMvZG93bnJldi54bWxQSwECFAAUAAAACACHTuJAQWLpOeMBAACRAwAA&#10;DgAAAAAAAAABACAAAAAg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602615</wp:posOffset>
                </wp:positionV>
                <wp:extent cx="533336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5045" y="8441055"/>
                          <a:ext cx="53333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pt;margin-top:47.45pt;height:0.2pt;width:419.95pt;z-index:251659264;mso-width-relative:page;mso-height-relative:page;" filled="f" stroked="t" coordsize="21600,21600" o:gfxdata="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IqZf&#10;1QAAAAcBAAAPAAAAAAAAAAEAIAAAACIAAABkcnMvZG93bnJldi54bWxQSwECFAAUAAAACACHTuJA&#10;4WvrcOsBAACdAwAADgAAAAAAAAABACAAAAAkAQAAZHJzL2Uyb0RvYy54bWxQSwUGAAAAAAYABgBZ&#10;AQAAg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w w:val="99"/>
          <w:sz w:val="28"/>
          <w:szCs w:val="28"/>
        </w:rPr>
        <w:t>抄送：区委有关部委办，区人大办，区政协办，区纪委监委办，区武装部</w:t>
      </w:r>
      <w:r>
        <w:rPr>
          <w:rFonts w:hint="eastAsia" w:ascii="仿宋_GB2312" w:hAnsi="仿宋_GB2312" w:eastAsia="仿宋_GB2312" w:cs="仿宋_GB2312"/>
          <w:color w:val="auto"/>
          <w:w w:val="99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区法院，区检察院。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160" w:leftChars="0" w:hanging="6160" w:hangingChars="2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揭东区人民政府办公室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2021年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日印发                                                                                        　    </w:t>
      </w:r>
    </w:p>
    <w:p>
      <w:pPr>
        <w:pStyle w:val="2"/>
        <w:ind w:firstLine="6440" w:firstLineChars="23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5334000" cy="19050"/>
                <wp:effectExtent l="0" t="4445" r="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5525" y="9370695"/>
                          <a:ext cx="533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0.95pt;height:1.5pt;width:420pt;z-index:251660288;mso-width-relative:page;mso-height-relative:page;" filled="f" stroked="t" coordsize="21600,21600" o:gfxdata="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aKvy&#10;0gAAAAQBAAAPAAAAAAAAAAEAIAAAACIAAABkcnMvZG93bnJldi54bWxQSwECFAAUAAAACACHTuJA&#10;4fTj0e4BAACfAwAADgAAAAAAAAABACAAAAAhAQAAZHJzL2Uyb0RvYy54bWxQSwUGAAAAAAYABgBZ&#10;AQAAg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（共印1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0份）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2"/>
    <w:rsid w:val="0038504E"/>
    <w:rsid w:val="003F0B72"/>
    <w:rsid w:val="00A11618"/>
    <w:rsid w:val="00D91BE9"/>
    <w:rsid w:val="0B6A017F"/>
    <w:rsid w:val="20DF0DC6"/>
    <w:rsid w:val="21764BC1"/>
    <w:rsid w:val="3CF26FEA"/>
    <w:rsid w:val="44CF6222"/>
    <w:rsid w:val="46B16FA7"/>
    <w:rsid w:val="4F196B96"/>
    <w:rsid w:val="5882510C"/>
    <w:rsid w:val="618D6F6E"/>
    <w:rsid w:val="636C6C7F"/>
    <w:rsid w:val="6E2B1B41"/>
    <w:rsid w:val="70A01D9F"/>
    <w:rsid w:val="7AB93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qFormat="1" w:uiPriority="99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Block Text"/>
    <w:basedOn w:val="1"/>
    <w:unhideWhenUsed/>
    <w:qFormat/>
    <w:uiPriority w:val="99"/>
    <w:pPr>
      <w:spacing w:before="100" w:beforeAutospacing="1" w:after="100" w:afterAutospacing="1" w:line="360" w:lineRule="auto"/>
      <w:jc w:val="center"/>
    </w:pPr>
    <w:rPr>
      <w:rFonts w:ascii="Times New Roman" w:hAnsi="Times New Roman" w:eastAsia="宋体" w:cs="Times New Roman"/>
      <w:szCs w:val="21"/>
    </w:rPr>
  </w:style>
  <w:style w:type="paragraph" w:styleId="4">
    <w:name w:val="Body Text Indent 2"/>
    <w:basedOn w:val="1"/>
    <w:link w:val="14"/>
    <w:unhideWhenUsed/>
    <w:qFormat/>
    <w:uiPriority w:val="99"/>
    <w:pPr>
      <w:pBdr>
        <w:top w:val="single" w:color="auto" w:sz="4" w:space="1"/>
        <w:bottom w:val="single" w:color="auto" w:sz="4" w:space="1"/>
      </w:pBdr>
      <w:spacing w:before="100" w:beforeAutospacing="1" w:after="100" w:afterAutospacing="1" w:line="560" w:lineRule="exact"/>
      <w:ind w:left="1120" w:hanging="1120" w:hangingChars="35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1">
    <w:name w:val="Body text|1"/>
    <w:basedOn w:val="1"/>
    <w:qFormat/>
    <w:uiPriority w:val="0"/>
    <w:pPr>
      <w:spacing w:before="100" w:beforeAutospacing="1" w:after="160"/>
      <w:jc w:val="center"/>
    </w:pPr>
    <w:rPr>
      <w:rFonts w:ascii="宋体" w:hAnsi="宋体" w:eastAsia="宋体" w:cs="宋体"/>
      <w:sz w:val="28"/>
      <w:szCs w:val="28"/>
    </w:rPr>
  </w:style>
  <w:style w:type="paragraph" w:customStyle="1" w:styleId="12">
    <w:name w:val="Other|1"/>
    <w:basedOn w:val="1"/>
    <w:qFormat/>
    <w:uiPriority w:val="0"/>
    <w:pPr>
      <w:spacing w:line="241" w:lineRule="exact"/>
    </w:pPr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2 Char"/>
    <w:basedOn w:val="9"/>
    <w:link w:val="4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9"/>
    <w:qFormat/>
    <w:uiPriority w:val="0"/>
    <w:rPr>
      <w:rFonts w:hint="default" w:ascii="Calibri" w:hAnsi="Calibri" w:eastAsia="宋体" w:cs="Times New Roman"/>
      <w:b/>
      <w:bCs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Plain Text_7d143775-c1ae-4502-a044-621787f0303f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3633</Words>
  <Characters>20711</Characters>
  <Lines>172</Lines>
  <Paragraphs>48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2021-12-21T01:59:00Z</dcterms:created>
  <dc:creator>刘晓锋</dc:creator>
  <cp:lastModifiedBy>LENOVO</cp:lastModifiedBy>
  <cp:lastPrinted>2021-12-21T02:16:00Z</cp:lastPrinted>
  <dcterms:modified xsi:type="dcterms:W3CDTF">2022-01-05T07:28:34Z</dcterms:modified>
  <dc:title>揭阳市揭东区人民政府关于印发《揭阳市揭东区药品安全事件应急预案（试行）》和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