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黑体" w:eastAsia="方正小标宋简体"/>
          <w:sz w:val="44"/>
          <w:szCs w:val="44"/>
        </w:rPr>
      </w:pPr>
    </w:p>
    <w:p>
      <w:pPr>
        <w:ind w:left="-160" w:leftChars="-50" w:right="-160" w:rightChars="-50" w:firstLine="0" w:firstLineChars="0"/>
        <w:jc w:val="center"/>
        <w:rPr>
          <w:rFonts w:ascii="黑体" w:hAnsi="黑体" w:eastAsia="黑体"/>
          <w:sz w:val="44"/>
          <w:szCs w:val="44"/>
        </w:rPr>
      </w:pPr>
      <w:r>
        <w:rPr>
          <w:rFonts w:hint="eastAsia" w:ascii="黑体" w:hAnsi="黑体" w:eastAsia="黑体"/>
          <w:sz w:val="44"/>
          <w:szCs w:val="44"/>
        </w:rPr>
        <w:t>揭阳市揭东区公共服务发展“十四五”规划</w:t>
      </w: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Cs w:val="32"/>
        </w:rPr>
      </w:pPr>
    </w:p>
    <w:p>
      <w:pPr>
        <w:ind w:firstLine="0" w:firstLineChars="0"/>
        <w:jc w:val="center"/>
        <w:rPr>
          <w:rFonts w:ascii="方正小标宋简体" w:hAnsi="黑体" w:eastAsia="方正小标宋简体"/>
          <w:szCs w:val="32"/>
        </w:rPr>
      </w:pPr>
    </w:p>
    <w:p>
      <w:pPr>
        <w:ind w:firstLine="640"/>
        <w:rPr>
          <w:rFonts w:ascii="仿宋" w:hAnsi="仿宋"/>
        </w:rPr>
      </w:pPr>
    </w:p>
    <w:p>
      <w:pPr>
        <w:ind w:firstLine="640"/>
        <w:rPr>
          <w:rFonts w:ascii="仿宋" w:hAnsi="仿宋"/>
        </w:rPr>
      </w:pPr>
    </w:p>
    <w:p>
      <w:pPr>
        <w:ind w:firstLine="640"/>
        <w:rPr>
          <w:rFonts w:ascii="仿宋" w:hAnsi="仿宋"/>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Times New Roman" w:hAnsi="Times New Roman" w:eastAsia="仿宋" w:cs="Times New Roman"/>
          <w:b/>
          <w:bCs/>
          <w:color w:val="auto"/>
          <w:kern w:val="2"/>
          <w:sz w:val="32"/>
          <w:szCs w:val="20"/>
          <w:lang w:val="zh-CN"/>
        </w:rPr>
        <w:id w:val="1378977109"/>
        <w:docPartObj>
          <w:docPartGallery w:val="Table of Contents"/>
          <w:docPartUnique/>
        </w:docPartObj>
      </w:sdtPr>
      <w:sdtEndPr>
        <w:rPr>
          <w:rFonts w:ascii="Times New Roman" w:hAnsi="Times New Roman" w:eastAsia="仿宋" w:cs="Times New Roman"/>
          <w:b/>
          <w:bCs/>
          <w:color w:val="auto"/>
          <w:kern w:val="2"/>
          <w:sz w:val="32"/>
          <w:szCs w:val="20"/>
          <w:lang w:val="zh-CN"/>
        </w:rPr>
      </w:sdtEndPr>
      <w:sdtContent>
        <w:p>
          <w:pPr>
            <w:pStyle w:val="32"/>
            <w:ind w:firstLine="643"/>
            <w:rPr>
              <w:rFonts w:ascii="黑体" w:hAnsi="黑体" w:eastAsia="黑体"/>
              <w:b/>
              <w:bCs/>
              <w:color w:val="auto"/>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 xml:space="preserve"> 录</w:t>
          </w:r>
        </w:p>
        <w:p>
          <w:pPr>
            <w:pStyle w:val="16"/>
            <w:rPr>
              <w:rFonts w:asciiTheme="minorHAnsi" w:hAnsiTheme="minorHAnsi" w:eastAsiaTheme="minorEastAsia" w:cstheme="minorBidi"/>
              <w:bCs w:val="0"/>
              <w:caps w:val="0"/>
              <w:sz w:val="21"/>
              <w:szCs w:val="22"/>
            </w:rPr>
          </w:pPr>
          <w:r>
            <w:fldChar w:fldCharType="begin"/>
          </w:r>
          <w:r>
            <w:instrText xml:space="preserve"> TOC \o "1-2" \h \z \u </w:instrText>
          </w:r>
          <w:r>
            <w:fldChar w:fldCharType="separate"/>
          </w:r>
          <w:r>
            <w:fldChar w:fldCharType="begin"/>
          </w:r>
          <w:r>
            <w:instrText xml:space="preserve"> HYPERLINK \l "_Toc85620511" </w:instrText>
          </w:r>
          <w:r>
            <w:fldChar w:fldCharType="separate"/>
          </w:r>
          <w:r>
            <w:rPr>
              <w:rStyle w:val="25"/>
              <w:color w:val="auto"/>
            </w:rPr>
            <w:t>前  言</w:t>
          </w:r>
          <w:r>
            <w:tab/>
          </w:r>
          <w:r>
            <w:fldChar w:fldCharType="begin"/>
          </w:r>
          <w:r>
            <w:instrText xml:space="preserve"> PAGEREF _Toc85620511 \h </w:instrText>
          </w:r>
          <w:r>
            <w:fldChar w:fldCharType="separate"/>
          </w:r>
          <w:r>
            <w:t>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"_Toc85620512" </w:instrText>
          </w:r>
          <w:r>
            <w:fldChar w:fldCharType="separate"/>
          </w:r>
          <w:r>
            <w:rPr>
              <w:rStyle w:val="25"/>
              <w:color w:val="auto"/>
            </w:rPr>
            <w:t>一、发展基础与形势</w:t>
          </w:r>
          <w:r>
            <w:tab/>
          </w:r>
          <w:r>
            <w:fldChar w:fldCharType="begin"/>
          </w:r>
          <w:r>
            <w:instrText xml:space="preserve"> PAGEREF _Toc85620512 \h </w:instrText>
          </w:r>
          <w:r>
            <w:fldChar w:fldCharType="separate"/>
          </w:r>
          <w:r>
            <w:t>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"_Toc85620513" </w:instrText>
          </w:r>
          <w:r>
            <w:fldChar w:fldCharType="separate"/>
          </w:r>
          <w:r>
            <w:rPr>
              <w:rStyle w:val="25"/>
              <w:color w:val="auto"/>
            </w:rPr>
            <w:t>（一）发展基础</w:t>
          </w:r>
          <w:r>
            <w:tab/>
          </w:r>
          <w:r>
            <w:fldChar w:fldCharType="begin"/>
          </w:r>
          <w:r>
            <w:instrText xml:space="preserve"> PAGEREF _Toc85620513 \h </w:instrText>
          </w:r>
          <w:r>
            <w:fldChar w:fldCharType="separate"/>
          </w:r>
          <w:r>
            <w:t>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"_Toc85620514" </w:instrText>
          </w:r>
          <w:r>
            <w:fldChar w:fldCharType="separate"/>
          </w:r>
          <w:r>
            <w:rPr>
              <w:rStyle w:val="25"/>
              <w:color w:val="auto"/>
            </w:rPr>
            <w:t>（二）发展短板</w:t>
          </w:r>
          <w:r>
            <w:tab/>
          </w:r>
          <w:r>
            <w:fldChar w:fldCharType="begin"/>
          </w:r>
          <w:r>
            <w:instrText xml:space="preserve"> PAGEREF _Toc85620514 \h </w:instrText>
          </w:r>
          <w:r>
            <w:fldChar w:fldCharType="separate"/>
          </w:r>
          <w:r>
            <w:t>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"_Toc85620515" </w:instrText>
          </w:r>
          <w:r>
            <w:fldChar w:fldCharType="separate"/>
          </w:r>
          <w:r>
            <w:rPr>
              <w:rStyle w:val="25"/>
              <w:color w:val="auto"/>
            </w:rPr>
            <w:t>（三）形势要求</w:t>
          </w:r>
          <w:r>
            <w:tab/>
          </w:r>
          <w:r>
            <w:fldChar w:fldCharType="begin"/>
          </w:r>
          <w:r>
            <w:instrText xml:space="preserve"> PAGEREF _Toc85620515 \h </w:instrText>
          </w:r>
          <w:r>
            <w:fldChar w:fldCharType="separate"/>
          </w:r>
          <w:r>
            <w:t>11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"_Toc85620516" </w:instrText>
          </w:r>
          <w:r>
            <w:fldChar w:fldCharType="separate"/>
          </w:r>
          <w:r>
            <w:rPr>
              <w:rStyle w:val="25"/>
              <w:color w:val="auto"/>
            </w:rPr>
            <w:t>二、总体思路与目标</w:t>
          </w:r>
          <w:r>
            <w:tab/>
          </w:r>
          <w:r>
            <w:fldChar w:fldCharType="begin"/>
          </w:r>
          <w:r>
            <w:instrText xml:space="preserve"> PAGEREF _Toc85620516 \h </w:instrText>
          </w:r>
          <w:r>
            <w:fldChar w:fldCharType="separate"/>
          </w:r>
          <w:r>
            <w:t>13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"_Toc85620517" </w:instrText>
          </w:r>
          <w:r>
            <w:fldChar w:fldCharType="separate"/>
          </w:r>
          <w:r>
            <w:rPr>
              <w:rStyle w:val="25"/>
              <w:color w:val="auto"/>
            </w:rPr>
            <w:t>（一）指导思想</w:t>
          </w:r>
          <w:r>
            <w:tab/>
          </w:r>
          <w:r>
            <w:fldChar w:fldCharType="begin"/>
          </w:r>
          <w:r>
            <w:instrText xml:space="preserve"> PAGEREF _Toc85620517 \h </w:instrText>
          </w:r>
          <w:r>
            <w:fldChar w:fldCharType="separate"/>
          </w:r>
          <w:r>
            <w:t>13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"_Toc85620518" </w:instrText>
          </w:r>
          <w:r>
            <w:fldChar w:fldCharType="separate"/>
          </w:r>
          <w:r>
            <w:rPr>
              <w:rStyle w:val="25"/>
              <w:color w:val="auto"/>
            </w:rPr>
            <w:t>（二）基本原则</w:t>
          </w:r>
          <w:r>
            <w:tab/>
          </w:r>
          <w:r>
            <w:fldChar w:fldCharType="begin"/>
          </w:r>
          <w:r>
            <w:instrText xml:space="preserve"> PAGEREF _Toc85620518 \h </w:instrText>
          </w:r>
          <w:r>
            <w:fldChar w:fldCharType="separate"/>
          </w:r>
          <w:r>
            <w:t>13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"_Toc85620519" </w:instrText>
          </w:r>
          <w:r>
            <w:fldChar w:fldCharType="separate"/>
          </w:r>
          <w:r>
            <w:rPr>
              <w:rStyle w:val="25"/>
              <w:color w:val="auto"/>
            </w:rPr>
            <w:t>（三）主要目标</w:t>
          </w:r>
          <w:r>
            <w:tab/>
          </w:r>
          <w:r>
            <w:fldChar w:fldCharType="begin"/>
          </w:r>
          <w:r>
            <w:instrText xml:space="preserve"> PAGEREF _Toc85620519 \h </w:instrText>
          </w:r>
          <w:r>
            <w:fldChar w:fldCharType="separate"/>
          </w:r>
          <w:r>
            <w:t>14</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"_Toc85620520" </w:instrText>
          </w:r>
          <w:r>
            <w:fldChar w:fldCharType="separate"/>
          </w:r>
          <w:r>
            <w:rPr>
              <w:rStyle w:val="25"/>
              <w:color w:val="auto"/>
            </w:rPr>
            <w:t>三、促进人口自身均衡发展</w:t>
          </w:r>
          <w:r>
            <w:tab/>
          </w:r>
          <w:r>
            <w:fldChar w:fldCharType="begin"/>
          </w:r>
          <w:r>
            <w:instrText xml:space="preserve"> PAGEREF _Toc85620520 \h </w:instrText>
          </w:r>
          <w:r>
            <w:fldChar w:fldCharType="separate"/>
          </w:r>
          <w:r>
            <w:t>18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"_Toc85620521" </w:instrText>
          </w:r>
          <w:r>
            <w:fldChar w:fldCharType="separate"/>
          </w:r>
          <w:r>
            <w:rPr>
              <w:rStyle w:val="25"/>
              <w:color w:val="auto"/>
            </w:rPr>
            <w:t>（一）延续人口总量势能</w:t>
          </w:r>
          <w:r>
            <w:tab/>
          </w:r>
          <w:r>
            <w:fldChar w:fldCharType="begin"/>
          </w:r>
          <w:r>
            <w:instrText xml:space="preserve"> PAGEREF _Toc85620521 \h </w:instrText>
          </w:r>
          <w:r>
            <w:fldChar w:fldCharType="separate"/>
          </w:r>
          <w:r>
            <w:t>18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"_Toc85620522" </w:instrText>
          </w:r>
          <w:r>
            <w:fldChar w:fldCharType="separate"/>
          </w:r>
          <w:r>
            <w:rPr>
              <w:rStyle w:val="25"/>
              <w:color w:val="auto"/>
            </w:rPr>
            <w:t>（二）优化人口空间布局</w:t>
          </w:r>
          <w:r>
            <w:tab/>
          </w:r>
          <w:r>
            <w:fldChar w:fldCharType="begin"/>
          </w:r>
          <w:r>
            <w:instrText xml:space="preserve"> PAGEREF _Toc85620522 \h </w:instrText>
          </w:r>
          <w:r>
            <w:fldChar w:fldCharType="separate"/>
          </w:r>
          <w:r>
            <w:t>20</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"_Toc85620523" </w:instrText>
          </w:r>
          <w:r>
            <w:fldChar w:fldCharType="separate"/>
          </w:r>
          <w:r>
            <w:rPr>
              <w:rStyle w:val="25"/>
              <w:color w:val="auto"/>
            </w:rPr>
            <w:t>四、支持基本劳动就业创业</w:t>
          </w:r>
          <w:r>
            <w:tab/>
          </w:r>
          <w:r>
            <w:fldChar w:fldCharType="begin"/>
          </w:r>
          <w:r>
            <w:instrText xml:space="preserve"> PAGEREF _Toc85620523 \h </w:instrText>
          </w:r>
          <w:r>
            <w:fldChar w:fldCharType="separate"/>
          </w:r>
          <w:r>
            <w:t>23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"_Toc85620524" </w:instrText>
          </w:r>
          <w:r>
            <w:fldChar w:fldCharType="separate"/>
          </w:r>
          <w:r>
            <w:rPr>
              <w:rStyle w:val="25"/>
              <w:color w:val="auto"/>
            </w:rPr>
            <w:t>（一）推进就业创业服务</w:t>
          </w:r>
          <w:r>
            <w:tab/>
          </w:r>
          <w:r>
            <w:fldChar w:fldCharType="begin"/>
          </w:r>
          <w:r>
            <w:instrText xml:space="preserve"> PAGEREF _Toc85620524 \h </w:instrText>
          </w:r>
          <w:r>
            <w:fldChar w:fldCharType="separate"/>
          </w:r>
          <w:r>
            <w:t>23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"_Toc85620525" </w:instrText>
          </w:r>
          <w:r>
            <w:fldChar w:fldCharType="separate"/>
          </w:r>
          <w:r>
            <w:rPr>
              <w:rStyle w:val="25"/>
              <w:color w:val="auto"/>
            </w:rPr>
            <w:t>（二）深化职业技能培训</w:t>
          </w:r>
          <w:r>
            <w:tab/>
          </w:r>
          <w:r>
            <w:fldChar w:fldCharType="begin"/>
          </w:r>
          <w:r>
            <w:instrText xml:space="preserve"> PAGEREF _Toc85620525 \h </w:instrText>
          </w:r>
          <w:r>
            <w:fldChar w:fldCharType="separate"/>
          </w:r>
          <w:r>
            <w:t>24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"_Toc85620526" </w:instrText>
          </w:r>
          <w:r>
            <w:fldChar w:fldCharType="separate"/>
          </w:r>
          <w:r>
            <w:rPr>
              <w:rStyle w:val="25"/>
              <w:color w:val="auto"/>
            </w:rPr>
            <w:t>（三）构建和谐劳动关系</w:t>
          </w:r>
          <w:r>
            <w:tab/>
          </w:r>
          <w:r>
            <w:fldChar w:fldCharType="begin"/>
          </w:r>
          <w:r>
            <w:instrText xml:space="preserve"> PAGEREF _Toc85620526 \h </w:instrText>
          </w:r>
          <w:r>
            <w:fldChar w:fldCharType="separate"/>
          </w:r>
          <w:r>
            <w:t>25</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"_Toc85620527" </w:instrText>
          </w:r>
          <w:r>
            <w:fldChar w:fldCharType="separate"/>
          </w:r>
          <w:r>
            <w:rPr>
              <w:rStyle w:val="25"/>
              <w:color w:val="auto"/>
            </w:rPr>
            <w:t>五、提升基本公共教育</w:t>
          </w:r>
          <w:r>
            <w:tab/>
          </w:r>
          <w:r>
            <w:fldChar w:fldCharType="begin"/>
          </w:r>
          <w:r>
            <w:instrText xml:space="preserve"> PAGEREF _Toc85620527 \h </w:instrText>
          </w:r>
          <w:r>
            <w:fldChar w:fldCharType="separate"/>
          </w:r>
          <w:r>
            <w:t>26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"_Toc85620528" </w:instrText>
          </w:r>
          <w:r>
            <w:fldChar w:fldCharType="separate"/>
          </w:r>
          <w:r>
            <w:rPr>
              <w:rStyle w:val="25"/>
              <w:color w:val="auto"/>
            </w:rPr>
            <w:t>（一）促进学前教育普惠优质规范发展</w:t>
          </w:r>
          <w:r>
            <w:tab/>
          </w:r>
          <w:r>
            <w:fldChar w:fldCharType="begin"/>
          </w:r>
          <w:r>
            <w:instrText xml:space="preserve"> PAGEREF _Toc85620528 \h </w:instrText>
          </w:r>
          <w:r>
            <w:fldChar w:fldCharType="separate"/>
          </w:r>
          <w:r>
            <w:t>26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"_Toc85620529" </w:instrText>
          </w:r>
          <w:r>
            <w:fldChar w:fldCharType="separate"/>
          </w:r>
          <w:r>
            <w:rPr>
              <w:rStyle w:val="25"/>
              <w:color w:val="auto"/>
            </w:rPr>
            <w:t>（二）推动义务教育优质均衡发展</w:t>
          </w:r>
          <w:r>
            <w:tab/>
          </w:r>
          <w:r>
            <w:fldChar w:fldCharType="begin"/>
          </w:r>
          <w:r>
            <w:instrText xml:space="preserve"> PAGEREF _Toc85620529 \h </w:instrText>
          </w:r>
          <w:r>
            <w:fldChar w:fldCharType="separate"/>
          </w:r>
          <w:r>
            <w:t>27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"_Toc85620530" </w:instrText>
          </w:r>
          <w:r>
            <w:fldChar w:fldCharType="separate"/>
          </w:r>
          <w:r>
            <w:rPr>
              <w:rStyle w:val="25"/>
              <w:color w:val="auto"/>
            </w:rPr>
            <w:t>（三）高水平高质量普及高中阶段教育</w:t>
          </w:r>
          <w:r>
            <w:tab/>
          </w:r>
          <w:r>
            <w:fldChar w:fldCharType="begin"/>
          </w:r>
          <w:r>
            <w:instrText xml:space="preserve"> PAGEREF _Toc85620530 \h </w:instrText>
          </w:r>
          <w:r>
            <w:fldChar w:fldCharType="separate"/>
          </w:r>
          <w:r>
            <w:t>27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"_Toc85620531" </w:instrText>
          </w:r>
          <w:r>
            <w:fldChar w:fldCharType="separate"/>
          </w:r>
          <w:r>
            <w:rPr>
              <w:rStyle w:val="25"/>
              <w:color w:val="auto"/>
            </w:rPr>
            <w:t>（四）大力发展特殊教育</w:t>
          </w:r>
          <w:r>
            <w:tab/>
          </w:r>
          <w:r>
            <w:fldChar w:fldCharType="begin"/>
          </w:r>
          <w:r>
            <w:instrText xml:space="preserve"> PAGEREF _Toc85620531 \h </w:instrText>
          </w:r>
          <w:r>
            <w:fldChar w:fldCharType="separate"/>
          </w:r>
          <w:r>
            <w:t>28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"_Toc85620532" </w:instrText>
          </w:r>
          <w:r>
            <w:fldChar w:fldCharType="separate"/>
          </w:r>
          <w:r>
            <w:rPr>
              <w:rStyle w:val="25"/>
              <w:color w:val="auto"/>
            </w:rPr>
            <w:t>（五）推动学校德育示范区建设</w:t>
          </w:r>
          <w:r>
            <w:tab/>
          </w:r>
          <w:r>
            <w:fldChar w:fldCharType="begin"/>
          </w:r>
          <w:r>
            <w:instrText xml:space="preserve"> PAGEREF _Toc85620532 \h </w:instrText>
          </w:r>
          <w:r>
            <w:fldChar w:fldCharType="separate"/>
          </w:r>
          <w:r>
            <w:t>28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"_Toc85620533" </w:instrText>
          </w:r>
          <w:r>
            <w:fldChar w:fldCharType="separate"/>
          </w:r>
          <w:r>
            <w:rPr>
              <w:rStyle w:val="25"/>
              <w:color w:val="auto"/>
            </w:rPr>
            <w:t>（六）加强教育信息化建设</w:t>
          </w:r>
          <w:r>
            <w:tab/>
          </w:r>
          <w:r>
            <w:fldChar w:fldCharType="begin"/>
          </w:r>
          <w:r>
            <w:instrText xml:space="preserve"> PAGEREF _Toc85620533 \h </w:instrText>
          </w:r>
          <w:r>
            <w:fldChar w:fldCharType="separate"/>
          </w:r>
          <w:r>
            <w:t>29</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"_Toc85620534" </w:instrText>
          </w:r>
          <w:r>
            <w:fldChar w:fldCharType="separate"/>
          </w:r>
          <w:r>
            <w:rPr>
              <w:rStyle w:val="25"/>
              <w:color w:val="auto"/>
            </w:rPr>
            <w:t>六、完善基本社会保险</w:t>
          </w:r>
          <w:r>
            <w:tab/>
          </w:r>
          <w:r>
            <w:fldChar w:fldCharType="begin"/>
          </w:r>
          <w:r>
            <w:instrText xml:space="preserve"> PAGEREF _Toc85620534 \h </w:instrText>
          </w:r>
          <w:r>
            <w:fldChar w:fldCharType="separate"/>
          </w:r>
          <w:r>
            <w:t>30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"_Toc85620535" </w:instrText>
          </w:r>
          <w:r>
            <w:fldChar w:fldCharType="separate"/>
          </w:r>
          <w:r>
            <w:rPr>
              <w:rStyle w:val="25"/>
              <w:color w:val="auto"/>
            </w:rPr>
            <w:t>（一）完善社会保险制度和政策体系</w:t>
          </w:r>
          <w:r>
            <w:tab/>
          </w:r>
          <w:r>
            <w:fldChar w:fldCharType="begin"/>
          </w:r>
          <w:r>
            <w:instrText xml:space="preserve"> PAGEREF _Toc85620535 \h </w:instrText>
          </w:r>
          <w:r>
            <w:fldChar w:fldCharType="separate"/>
          </w:r>
          <w:r>
            <w:t>30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"_Toc85620536" </w:instrText>
          </w:r>
          <w:r>
            <w:fldChar w:fldCharType="separate"/>
          </w:r>
          <w:r>
            <w:rPr>
              <w:rStyle w:val="25"/>
              <w:color w:val="auto"/>
            </w:rPr>
            <w:t>（二）不断扩大社会保险覆盖面</w:t>
          </w:r>
          <w:r>
            <w:tab/>
          </w:r>
          <w:r>
            <w:fldChar w:fldCharType="begin"/>
          </w:r>
          <w:r>
            <w:instrText xml:space="preserve"> PAGEREF _Toc85620536 \h </w:instrText>
          </w:r>
          <w:r>
            <w:fldChar w:fldCharType="separate"/>
          </w:r>
          <w:r>
            <w:t>30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"_Toc85620537" </w:instrText>
          </w:r>
          <w:r>
            <w:fldChar w:fldCharType="separate"/>
          </w:r>
          <w:r>
            <w:rPr>
              <w:rStyle w:val="25"/>
              <w:color w:val="auto"/>
            </w:rPr>
            <w:t>（三）不断提高社会保险管理经办水平</w:t>
          </w:r>
          <w:r>
            <w:tab/>
          </w:r>
          <w:r>
            <w:fldChar w:fldCharType="begin"/>
          </w:r>
          <w:r>
            <w:instrText xml:space="preserve"> PAGEREF _Toc85620537 \h </w:instrText>
          </w:r>
          <w:r>
            <w:fldChar w:fldCharType="separate"/>
          </w:r>
          <w:r>
            <w:t>31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"_Toc85620538" </w:instrText>
          </w:r>
          <w:r>
            <w:fldChar w:fldCharType="separate"/>
          </w:r>
          <w:r>
            <w:rPr>
              <w:rStyle w:val="25"/>
              <w:color w:val="auto"/>
            </w:rPr>
            <w:t>七、强化基本卫生健康服务</w:t>
          </w:r>
          <w:r>
            <w:tab/>
          </w:r>
          <w:r>
            <w:fldChar w:fldCharType="begin"/>
          </w:r>
          <w:r>
            <w:instrText xml:space="preserve"> PAGEREF _Toc85620538 \h </w:instrText>
          </w:r>
          <w:r>
            <w:fldChar w:fldCharType="separate"/>
          </w:r>
          <w:r>
            <w:t>32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"_Toc85620539" </w:instrText>
          </w:r>
          <w:r>
            <w:fldChar w:fldCharType="separate"/>
          </w:r>
          <w:r>
            <w:rPr>
              <w:rStyle w:val="25"/>
              <w:color w:val="auto"/>
            </w:rPr>
            <w:t>（一）完善医疗卫生服务体系</w:t>
          </w:r>
          <w:r>
            <w:tab/>
          </w:r>
          <w:r>
            <w:fldChar w:fldCharType="begin"/>
          </w:r>
          <w:r>
            <w:instrText xml:space="preserve"> PAGEREF _Toc85620539 \h </w:instrText>
          </w:r>
          <w:r>
            <w:fldChar w:fldCharType="separate"/>
          </w:r>
          <w:r>
            <w:t>32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"_Toc85620540" </w:instrText>
          </w:r>
          <w:r>
            <w:fldChar w:fldCharType="separate"/>
          </w:r>
          <w:r>
            <w:rPr>
              <w:rStyle w:val="25"/>
              <w:color w:val="auto"/>
            </w:rPr>
            <w:t>（二）推进公共卫生服务均等化</w:t>
          </w:r>
          <w:r>
            <w:tab/>
          </w:r>
          <w:r>
            <w:fldChar w:fldCharType="begin"/>
          </w:r>
          <w:r>
            <w:instrText xml:space="preserve"> PAGEREF _Toc85620540 \h </w:instrText>
          </w:r>
          <w:r>
            <w:fldChar w:fldCharType="separate"/>
          </w:r>
          <w:r>
            <w:t>33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"_Toc85620541" </w:instrText>
          </w:r>
          <w:r>
            <w:fldChar w:fldCharType="separate"/>
          </w:r>
          <w:r>
            <w:rPr>
              <w:rStyle w:val="25"/>
              <w:color w:val="auto"/>
            </w:rPr>
            <w:t>（三）加强中医药事业发展</w:t>
          </w:r>
          <w:r>
            <w:tab/>
          </w:r>
          <w:r>
            <w:fldChar w:fldCharType="begin"/>
          </w:r>
          <w:r>
            <w:instrText xml:space="preserve"> PAGEREF _Toc85620541 \h </w:instrText>
          </w:r>
          <w:r>
            <w:fldChar w:fldCharType="separate"/>
          </w:r>
          <w:r>
            <w:t>33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"_Toc85620542" </w:instrText>
          </w:r>
          <w:r>
            <w:fldChar w:fldCharType="separate"/>
          </w:r>
          <w:r>
            <w:rPr>
              <w:rStyle w:val="25"/>
              <w:color w:val="auto"/>
              <w:shd w:val="clear" w:color="auto" w:fill="FFFFFF"/>
            </w:rPr>
            <w:t>（四）广泛开展全民健身运动</w:t>
          </w:r>
          <w:r>
            <w:tab/>
          </w:r>
          <w:r>
            <w:fldChar w:fldCharType="begin"/>
          </w:r>
          <w:r>
            <w:instrText xml:space="preserve"> PAGEREF _Toc85620542 \h </w:instrText>
          </w:r>
          <w:r>
            <w:fldChar w:fldCharType="separate"/>
          </w:r>
          <w:r>
            <w:t>34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"_Toc85620543" </w:instrText>
          </w:r>
          <w:r>
            <w:fldChar w:fldCharType="separate"/>
          </w:r>
          <w:r>
            <w:rPr>
              <w:rStyle w:val="25"/>
              <w:color w:val="auto"/>
            </w:rPr>
            <w:t>（五）全方位全周期保障公共卫生安全</w:t>
          </w:r>
          <w:r>
            <w:tab/>
          </w:r>
          <w:r>
            <w:fldChar w:fldCharType="begin"/>
          </w:r>
          <w:r>
            <w:instrText xml:space="preserve"> PAGEREF _Toc85620543 \h </w:instrText>
          </w:r>
          <w:r>
            <w:fldChar w:fldCharType="separate"/>
          </w:r>
          <w:r>
            <w:t>34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"_Toc85620544" </w:instrText>
          </w:r>
          <w:r>
            <w:fldChar w:fldCharType="separate"/>
          </w:r>
          <w:r>
            <w:rPr>
              <w:rStyle w:val="25"/>
              <w:color w:val="auto"/>
            </w:rPr>
            <w:t>（六）切实保障食品药品安全</w:t>
          </w:r>
          <w:r>
            <w:tab/>
          </w:r>
          <w:r>
            <w:fldChar w:fldCharType="begin"/>
          </w:r>
          <w:r>
            <w:instrText xml:space="preserve"> PAGEREF _Toc85620544 \h </w:instrText>
          </w:r>
          <w:r>
            <w:fldChar w:fldCharType="separate"/>
          </w:r>
          <w:r>
            <w:t>35</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"_Toc85620545" </w:instrText>
          </w:r>
          <w:r>
            <w:fldChar w:fldCharType="separate"/>
          </w:r>
          <w:r>
            <w:rPr>
              <w:rStyle w:val="25"/>
              <w:color w:val="auto"/>
            </w:rPr>
            <w:t>八、提升基本住房保障</w:t>
          </w:r>
          <w:r>
            <w:tab/>
          </w:r>
          <w:r>
            <w:fldChar w:fldCharType="begin"/>
          </w:r>
          <w:r>
            <w:instrText xml:space="preserve"> PAGEREF _Toc85620545 \h </w:instrText>
          </w:r>
          <w:r>
            <w:fldChar w:fldCharType="separate"/>
          </w:r>
          <w:r>
            <w:t>36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"_Toc85620546" </w:instrText>
          </w:r>
          <w:r>
            <w:fldChar w:fldCharType="separate"/>
          </w:r>
          <w:r>
            <w:rPr>
              <w:rStyle w:val="25"/>
              <w:color w:val="auto"/>
            </w:rPr>
            <w:t>（一）完善住房保障体系</w:t>
          </w:r>
          <w:r>
            <w:tab/>
          </w:r>
          <w:r>
            <w:fldChar w:fldCharType="begin"/>
          </w:r>
          <w:r>
            <w:instrText xml:space="preserve"> PAGEREF _Toc85620546 \h </w:instrText>
          </w:r>
          <w:r>
            <w:fldChar w:fldCharType="separate"/>
          </w:r>
          <w:r>
            <w:t>36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"_Toc85620547" </w:instrText>
          </w:r>
          <w:r>
            <w:fldChar w:fldCharType="separate"/>
          </w:r>
          <w:r>
            <w:rPr>
              <w:rStyle w:val="25"/>
              <w:color w:val="auto"/>
            </w:rPr>
            <w:t>（二）推进“三旧”改造</w:t>
          </w:r>
          <w:r>
            <w:tab/>
          </w:r>
          <w:r>
            <w:fldChar w:fldCharType="begin"/>
          </w:r>
          <w:r>
            <w:instrText xml:space="preserve"> PAGEREF _Toc85620547 \h </w:instrText>
          </w:r>
          <w:r>
            <w:fldChar w:fldCharType="separate"/>
          </w:r>
          <w:r>
            <w:t>36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"_Toc85620548" </w:instrText>
          </w:r>
          <w:r>
            <w:fldChar w:fldCharType="separate"/>
          </w:r>
          <w:r>
            <w:rPr>
              <w:rStyle w:val="25"/>
              <w:color w:val="auto"/>
            </w:rPr>
            <w:t>（三）提升农村住房条件</w:t>
          </w:r>
          <w:r>
            <w:tab/>
          </w:r>
          <w:r>
            <w:fldChar w:fldCharType="begin"/>
          </w:r>
          <w:r>
            <w:instrText xml:space="preserve"> PAGEREF _Toc85620548 \h </w:instrText>
          </w:r>
          <w:r>
            <w:fldChar w:fldCharType="separate"/>
          </w:r>
          <w:r>
            <w:t>37</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"_Toc85620549" </w:instrText>
          </w:r>
          <w:r>
            <w:fldChar w:fldCharType="separate"/>
          </w:r>
          <w:r>
            <w:rPr>
              <w:rStyle w:val="25"/>
              <w:color w:val="auto"/>
            </w:rPr>
            <w:t>九、健全基本社会服务</w:t>
          </w:r>
          <w:r>
            <w:tab/>
          </w:r>
          <w:r>
            <w:fldChar w:fldCharType="begin"/>
          </w:r>
          <w:r>
            <w:instrText xml:space="preserve"> PAGEREF _Toc85620549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"_Toc85620550" </w:instrText>
          </w:r>
          <w:r>
            <w:fldChar w:fldCharType="separate"/>
          </w:r>
          <w:r>
            <w:rPr>
              <w:rStyle w:val="25"/>
              <w:color w:val="auto"/>
            </w:rPr>
            <w:t>（一）保障妇女儿童合法权益</w:t>
          </w:r>
          <w:r>
            <w:tab/>
          </w:r>
          <w:r>
            <w:fldChar w:fldCharType="begin"/>
          </w:r>
          <w:r>
            <w:instrText xml:space="preserve"> PAGEREF _Toc85620550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"_Toc85620551" </w:instrText>
          </w:r>
          <w:r>
            <w:fldChar w:fldCharType="separate"/>
          </w:r>
          <w:r>
            <w:rPr>
              <w:rStyle w:val="25"/>
              <w:color w:val="auto"/>
            </w:rPr>
            <w:t>（二）开创青年事业发展新局面</w:t>
          </w:r>
          <w:r>
            <w:tab/>
          </w:r>
          <w:r>
            <w:fldChar w:fldCharType="begin"/>
          </w:r>
          <w:r>
            <w:instrText xml:space="preserve"> PAGEREF _Toc85620551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"_Toc85620552" </w:instrText>
          </w:r>
          <w:r>
            <w:fldChar w:fldCharType="separate"/>
          </w:r>
          <w:r>
            <w:rPr>
              <w:rStyle w:val="25"/>
              <w:color w:val="auto"/>
            </w:rPr>
            <w:t>（三）健全退役军人工作体系和保障制度</w:t>
          </w:r>
          <w:r>
            <w:tab/>
          </w:r>
          <w:r>
            <w:fldChar w:fldCharType="begin"/>
          </w:r>
          <w:r>
            <w:instrText xml:space="preserve"> PAGEREF _Toc85620552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"_Toc85620553" </w:instrText>
          </w:r>
          <w:r>
            <w:fldChar w:fldCharType="separate"/>
          </w:r>
          <w:r>
            <w:rPr>
              <w:rStyle w:val="25"/>
              <w:color w:val="auto"/>
            </w:rPr>
            <w:t>（四）积极发展残疾人基本公共服务</w:t>
          </w:r>
          <w:r>
            <w:tab/>
          </w:r>
          <w:r>
            <w:fldChar w:fldCharType="begin"/>
          </w:r>
          <w:r>
            <w:instrText xml:space="preserve"> PAGEREF _Toc85620553 \h </w:instrText>
          </w:r>
          <w:r>
            <w:fldChar w:fldCharType="separate"/>
          </w:r>
          <w:r>
            <w:t>39</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"_Toc85620554" </w:instrText>
          </w:r>
          <w:r>
            <w:fldChar w:fldCharType="separate"/>
          </w:r>
          <w:r>
            <w:rPr>
              <w:rStyle w:val="25"/>
              <w:color w:val="auto"/>
            </w:rPr>
            <w:t>（五）完善新型社会救助体系</w:t>
          </w:r>
          <w:r>
            <w:tab/>
          </w:r>
          <w:r>
            <w:fldChar w:fldCharType="begin"/>
          </w:r>
          <w:r>
            <w:instrText xml:space="preserve"> PAGEREF _Toc85620554 \h </w:instrText>
          </w:r>
          <w:r>
            <w:fldChar w:fldCharType="separate"/>
          </w:r>
          <w:r>
            <w:t>40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"_Toc85620555" </w:instrText>
          </w:r>
          <w:r>
            <w:fldChar w:fldCharType="separate"/>
          </w:r>
          <w:r>
            <w:rPr>
              <w:rStyle w:val="25"/>
              <w:color w:val="auto"/>
            </w:rPr>
            <w:t>（六）推进社会福利事业发展</w:t>
          </w:r>
          <w:r>
            <w:tab/>
          </w:r>
          <w:r>
            <w:fldChar w:fldCharType="begin"/>
          </w:r>
          <w:r>
            <w:instrText xml:space="preserve"> PAGEREF _Toc85620555 \h </w:instrText>
          </w:r>
          <w:r>
            <w:fldChar w:fldCharType="separate"/>
          </w:r>
          <w:r>
            <w:t>41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"_Toc85620556" </w:instrText>
          </w:r>
          <w:r>
            <w:fldChar w:fldCharType="separate"/>
          </w:r>
          <w:r>
            <w:rPr>
              <w:rStyle w:val="25"/>
              <w:color w:val="auto"/>
            </w:rPr>
            <w:t>十、丰富基本公共文化体育</w:t>
          </w:r>
          <w:r>
            <w:tab/>
          </w:r>
          <w:r>
            <w:fldChar w:fldCharType="begin"/>
          </w:r>
          <w:r>
            <w:instrText xml:space="preserve"> PAGEREF _Toc85620556 \h </w:instrText>
          </w:r>
          <w:r>
            <w:fldChar w:fldCharType="separate"/>
          </w:r>
          <w:r>
            <w:t>42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"_Toc85620557" </w:instrText>
          </w:r>
          <w:r>
            <w:fldChar w:fldCharType="separate"/>
          </w:r>
          <w:r>
            <w:rPr>
              <w:rStyle w:val="25"/>
              <w:color w:val="auto"/>
            </w:rPr>
            <w:t>（一）大力提高社会文明程度</w:t>
          </w:r>
          <w:r>
            <w:tab/>
          </w:r>
          <w:r>
            <w:fldChar w:fldCharType="begin"/>
          </w:r>
          <w:r>
            <w:instrText xml:space="preserve"> PAGEREF _Toc85620557 \h </w:instrText>
          </w:r>
          <w:r>
            <w:fldChar w:fldCharType="separate"/>
          </w:r>
          <w:r>
            <w:t>42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"_Toc85620558" </w:instrText>
          </w:r>
          <w:r>
            <w:fldChar w:fldCharType="separate"/>
          </w:r>
          <w:r>
            <w:rPr>
              <w:rStyle w:val="25"/>
              <w:color w:val="auto"/>
            </w:rPr>
            <w:t>（二）推动文化事业繁荣发展</w:t>
          </w:r>
          <w:r>
            <w:tab/>
          </w:r>
          <w:r>
            <w:fldChar w:fldCharType="begin"/>
          </w:r>
          <w:r>
            <w:instrText xml:space="preserve"> PAGEREF _Toc85620558 \h </w:instrText>
          </w:r>
          <w:r>
            <w:fldChar w:fldCharType="separate"/>
          </w:r>
          <w:r>
            <w:t>43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"_Toc85620559" </w:instrText>
          </w:r>
          <w:r>
            <w:fldChar w:fldCharType="separate"/>
          </w:r>
          <w:r>
            <w:rPr>
              <w:rStyle w:val="25"/>
              <w:color w:val="auto"/>
            </w:rPr>
            <w:t>（三）着力培育特色文化产业</w:t>
          </w:r>
          <w:r>
            <w:tab/>
          </w:r>
          <w:r>
            <w:fldChar w:fldCharType="begin"/>
          </w:r>
          <w:r>
            <w:instrText xml:space="preserve"> PAGEREF _Toc85620559 \h </w:instrText>
          </w:r>
          <w:r>
            <w:fldChar w:fldCharType="separate"/>
          </w:r>
          <w:r>
            <w:t>44</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"_Toc85620560" </w:instrText>
          </w:r>
          <w:r>
            <w:fldChar w:fldCharType="separate"/>
          </w:r>
          <w:r>
            <w:rPr>
              <w:rStyle w:val="25"/>
              <w:color w:val="auto"/>
            </w:rPr>
            <w:t>十一、筑牢城乡安全底线</w:t>
          </w:r>
          <w:r>
            <w:tab/>
          </w:r>
          <w:r>
            <w:fldChar w:fldCharType="begin"/>
          </w:r>
          <w:r>
            <w:instrText xml:space="preserve"> PAGEREF _Toc85620560 \h </w:instrText>
          </w:r>
          <w:r>
            <w:fldChar w:fldCharType="separate"/>
          </w:r>
          <w:r>
            <w:t>47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"_Toc85620561" </w:instrText>
          </w:r>
          <w:r>
            <w:fldChar w:fldCharType="separate"/>
          </w:r>
          <w:r>
            <w:rPr>
              <w:rStyle w:val="25"/>
              <w:color w:val="auto"/>
            </w:rPr>
            <w:t>（一）健全应急管理体系</w:t>
          </w:r>
          <w:r>
            <w:tab/>
          </w:r>
          <w:r>
            <w:fldChar w:fldCharType="begin"/>
          </w:r>
          <w:r>
            <w:instrText xml:space="preserve"> PAGEREF _Toc85620561 \h </w:instrText>
          </w:r>
          <w:r>
            <w:fldChar w:fldCharType="separate"/>
          </w:r>
          <w:r>
            <w:t>47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"_Toc85620562" </w:instrText>
          </w:r>
          <w:r>
            <w:fldChar w:fldCharType="separate"/>
          </w:r>
          <w:r>
            <w:rPr>
              <w:rStyle w:val="25"/>
              <w:color w:val="auto"/>
            </w:rPr>
            <w:t>（二）全面深化平安揭东建设</w:t>
          </w:r>
          <w:r>
            <w:tab/>
          </w:r>
          <w:r>
            <w:fldChar w:fldCharType="begin"/>
          </w:r>
          <w:r>
            <w:instrText xml:space="preserve"> PAGEREF _Toc85620562 \h </w:instrText>
          </w:r>
          <w:r>
            <w:fldChar w:fldCharType="separate"/>
          </w:r>
          <w:r>
            <w:t>49</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"_Toc85620563" </w:instrText>
          </w:r>
          <w:r>
            <w:fldChar w:fldCharType="separate"/>
          </w:r>
          <w:r>
            <w:rPr>
              <w:rStyle w:val="25"/>
              <w:color w:val="auto"/>
            </w:rPr>
            <w:t>十二、推进基本公共服务均等化</w:t>
          </w:r>
          <w:r>
            <w:tab/>
          </w:r>
          <w:r>
            <w:fldChar w:fldCharType="begin"/>
          </w:r>
          <w:r>
            <w:instrText xml:space="preserve"> PAGEREF _Toc85620563 \h </w:instrText>
          </w:r>
          <w:r>
            <w:fldChar w:fldCharType="separate"/>
          </w:r>
          <w:r>
            <w:t>52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"_Toc85620564" </w:instrText>
          </w:r>
          <w:r>
            <w:fldChar w:fldCharType="separate"/>
          </w:r>
          <w:r>
            <w:rPr>
              <w:rStyle w:val="25"/>
              <w:color w:val="auto"/>
            </w:rPr>
            <w:t>（一）促进城乡区域均等化</w:t>
          </w:r>
          <w:r>
            <w:tab/>
          </w:r>
          <w:r>
            <w:fldChar w:fldCharType="begin"/>
          </w:r>
          <w:r>
            <w:instrText xml:space="preserve"> PAGEREF _Toc85620564 \h </w:instrText>
          </w:r>
          <w:r>
            <w:fldChar w:fldCharType="separate"/>
          </w:r>
          <w:r>
            <w:t>52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"_Toc85620565" </w:instrText>
          </w:r>
          <w:r>
            <w:fldChar w:fldCharType="separate"/>
          </w:r>
          <w:r>
            <w:rPr>
              <w:rStyle w:val="25"/>
              <w:color w:val="auto"/>
            </w:rPr>
            <w:t>（二）推进基本公共服务资源共享</w:t>
          </w:r>
          <w:r>
            <w:tab/>
          </w:r>
          <w:r>
            <w:fldChar w:fldCharType="begin"/>
          </w:r>
          <w:r>
            <w:instrText xml:space="preserve"> PAGEREF _Toc85620565 \h </w:instrText>
          </w:r>
          <w:r>
            <w:fldChar w:fldCharType="separate"/>
          </w:r>
          <w:r>
            <w:t>52</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"_Toc85620566" </w:instrText>
          </w:r>
          <w:r>
            <w:fldChar w:fldCharType="separate"/>
          </w:r>
          <w:r>
            <w:rPr>
              <w:rStyle w:val="25"/>
              <w:color w:val="auto"/>
            </w:rPr>
            <w:t>十三、创新公共服务供给方式</w:t>
          </w:r>
          <w:r>
            <w:tab/>
          </w:r>
          <w:r>
            <w:fldChar w:fldCharType="begin"/>
          </w:r>
          <w:r>
            <w:instrText xml:space="preserve"> PAGEREF _Toc85620566 \h </w:instrText>
          </w:r>
          <w:r>
            <w:fldChar w:fldCharType="separate"/>
          </w:r>
          <w:r>
            <w:t>54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"_Toc85620567" </w:instrText>
          </w:r>
          <w:r>
            <w:fldChar w:fldCharType="separate"/>
          </w:r>
          <w:r>
            <w:rPr>
              <w:rStyle w:val="25"/>
              <w:color w:val="auto"/>
            </w:rPr>
            <w:t>（一）发挥社会组织积极作用</w:t>
          </w:r>
          <w:r>
            <w:tab/>
          </w:r>
          <w:r>
            <w:fldChar w:fldCharType="begin"/>
          </w:r>
          <w:r>
            <w:instrText xml:space="preserve"> PAGEREF _Toc85620567 \h </w:instrText>
          </w:r>
          <w:r>
            <w:fldChar w:fldCharType="separate"/>
          </w:r>
          <w:r>
            <w:t>54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"_Toc85620568" </w:instrText>
          </w:r>
          <w:r>
            <w:fldChar w:fldCharType="separate"/>
          </w:r>
          <w:r>
            <w:rPr>
              <w:rStyle w:val="25"/>
              <w:color w:val="auto"/>
            </w:rPr>
            <w:t>（二）吸引非公资本进入公共服务重点领域</w:t>
          </w:r>
          <w:r>
            <w:tab/>
          </w:r>
          <w:r>
            <w:fldChar w:fldCharType="begin"/>
          </w:r>
          <w:r>
            <w:instrText xml:space="preserve"> PAGEREF _Toc85620568 \h </w:instrText>
          </w:r>
          <w:r>
            <w:fldChar w:fldCharType="separate"/>
          </w:r>
          <w:r>
            <w:t>55</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"_Toc85620569" </w:instrText>
          </w:r>
          <w:r>
            <w:fldChar w:fldCharType="separate"/>
          </w:r>
          <w:r>
            <w:rPr>
              <w:rStyle w:val="25"/>
              <w:color w:val="auto"/>
            </w:rPr>
            <w:t>（三）提升信息化服务水平</w:t>
          </w:r>
          <w:r>
            <w:tab/>
          </w:r>
          <w:r>
            <w:fldChar w:fldCharType="begin"/>
          </w:r>
          <w:r>
            <w:instrText xml:space="preserve"> PAGEREF _Toc85620569 \h </w:instrText>
          </w:r>
          <w:r>
            <w:fldChar w:fldCharType="separate"/>
          </w:r>
          <w:r>
            <w:t>58</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"_Toc85620570" </w:instrText>
          </w:r>
          <w:r>
            <w:fldChar w:fldCharType="separate"/>
          </w:r>
          <w:r>
            <w:rPr>
              <w:rStyle w:val="25"/>
              <w:color w:val="auto"/>
            </w:rPr>
            <w:t>十四、规划实施保障</w:t>
          </w:r>
          <w:r>
            <w:tab/>
          </w:r>
          <w:r>
            <w:fldChar w:fldCharType="begin"/>
          </w:r>
          <w:r>
            <w:instrText xml:space="preserve"> PAGEREF _Toc85620570 \h </w:instrText>
          </w:r>
          <w:r>
            <w:fldChar w:fldCharType="separate"/>
          </w:r>
          <w:r>
            <w:t>61</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"_Toc85620571" </w:instrText>
          </w:r>
          <w:r>
            <w:fldChar w:fldCharType="separate"/>
          </w:r>
          <w:r>
            <w:rPr>
              <w:rStyle w:val="25"/>
              <w:rFonts w:ascii="仿宋" w:hAnsi="仿宋" w:eastAsia="仿宋"/>
              <w:color w:val="auto"/>
            </w:rPr>
            <w:t>（一）</w:t>
          </w:r>
          <w:r>
            <w:rPr>
              <w:rStyle w:val="25"/>
              <w:color w:val="auto"/>
            </w:rPr>
            <w:t>强化责任落实</w:t>
          </w:r>
          <w:r>
            <w:tab/>
          </w:r>
          <w:r>
            <w:fldChar w:fldCharType="begin"/>
          </w:r>
          <w:r>
            <w:instrText xml:space="preserve"> PAGEREF _Toc85620571 \h </w:instrText>
          </w:r>
          <w:r>
            <w:fldChar w:fldCharType="separate"/>
          </w:r>
          <w:r>
            <w:t>61</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"_Toc85620572" </w:instrText>
          </w:r>
          <w:r>
            <w:fldChar w:fldCharType="separate"/>
          </w:r>
          <w:r>
            <w:rPr>
              <w:rStyle w:val="25"/>
              <w:color w:val="auto"/>
            </w:rPr>
            <w:t>（二）加强资金保障</w:t>
          </w:r>
          <w:r>
            <w:tab/>
          </w:r>
          <w:r>
            <w:fldChar w:fldCharType="begin"/>
          </w:r>
          <w:r>
            <w:instrText xml:space="preserve"> PAGEREF _Toc85620572 \h </w:instrText>
          </w:r>
          <w:r>
            <w:fldChar w:fldCharType="separate"/>
          </w:r>
          <w:r>
            <w:t>61</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"_Toc85620573" </w:instrText>
          </w:r>
          <w:r>
            <w:fldChar w:fldCharType="separate"/>
          </w:r>
          <w:r>
            <w:rPr>
              <w:rStyle w:val="25"/>
              <w:color w:val="auto"/>
            </w:rPr>
            <w:t>（三）实施监测评估</w:t>
          </w:r>
          <w:r>
            <w:tab/>
          </w:r>
          <w:r>
            <w:fldChar w:fldCharType="begin"/>
          </w:r>
          <w:r>
            <w:instrText xml:space="preserve"> PAGEREF _Toc85620573 \h </w:instrText>
          </w:r>
          <w:r>
            <w:fldChar w:fldCharType="separate"/>
          </w:r>
          <w:r>
            <w:t>61</w:t>
          </w:r>
          <w:r>
            <w:fldChar w:fldCharType="end"/>
          </w:r>
          <w:r>
            <w:fldChar w:fldCharType="end"/>
          </w:r>
        </w:p>
        <w:p>
          <w:pPr>
            <w:spacing w:line="580" w:lineRule="exact"/>
            <w:ind w:firstLine="640"/>
          </w:pPr>
          <w:r>
            <w:fldChar w:fldCharType="end"/>
          </w:r>
        </w:p>
      </w:sdtContent>
    </w:sdt>
    <w:p>
      <w:pPr>
        <w:ind w:firstLine="643"/>
        <w:rPr>
          <w:b/>
          <w:bCs/>
          <w:kern w:val="0"/>
          <w:szCs w:val="32"/>
          <w:lang w:val="zh-CN"/>
        </w:rPr>
      </w:pPr>
    </w:p>
    <w:p>
      <w:pPr>
        <w:ind w:firstLine="640"/>
        <w:sectPr>
          <w:footerReference r:id="rId11" w:type="default"/>
          <w:pgSz w:w="11906" w:h="16838"/>
          <w:pgMar w:top="1440" w:right="1800" w:bottom="1440" w:left="1800" w:header="851" w:footer="992" w:gutter="0"/>
          <w:pgNumType w:start="1"/>
          <w:cols w:space="425" w:num="1"/>
          <w:docGrid w:type="lines" w:linePitch="312" w:charSpace="0"/>
        </w:sectPr>
      </w:pPr>
    </w:p>
    <w:p>
      <w:pPr>
        <w:pStyle w:val="2"/>
      </w:pPr>
      <w:bookmarkStart w:id="0" w:name="_Toc64966194"/>
      <w:bookmarkStart w:id="1" w:name="_Toc66112102"/>
      <w:bookmarkStart w:id="2" w:name="_Toc85620511"/>
      <w:r>
        <w:rPr>
          <w:rFonts w:hint="eastAsia"/>
        </w:rPr>
        <w:t xml:space="preserve">前 </w:t>
      </w:r>
      <w:r>
        <w:t xml:space="preserve"> </w:t>
      </w:r>
      <w:r>
        <w:rPr>
          <w:rFonts w:hint="eastAsia"/>
        </w:rPr>
        <w:t>言</w:t>
      </w:r>
      <w:bookmarkEnd w:id="0"/>
      <w:bookmarkEnd w:id="1"/>
      <w:bookmarkEnd w:id="2"/>
    </w:p>
    <w:p>
      <w:pPr>
        <w:widowControl/>
        <w:shd w:val="clear" w:color="auto" w:fill="FFFFFF"/>
        <w:wordWrap w:val="0"/>
        <w:adjustRightInd/>
        <w:snapToGrid/>
        <w:spacing w:line="450" w:lineRule="atLeast"/>
        <w:ind w:firstLine="640"/>
      </w:pPr>
      <w:r>
        <w:rPr>
          <w:rFonts w:ascii="仿宋" w:hAnsi="仿宋"/>
        </w:rPr>
        <w:t>“</w:t>
      </w:r>
      <w:r>
        <w:rPr>
          <w:rFonts w:hint="eastAsia" w:ascii="仿宋" w:hAnsi="仿宋"/>
        </w:rPr>
        <w:t>十四五</w:t>
      </w:r>
      <w:r>
        <w:rPr>
          <w:rFonts w:ascii="仿宋" w:hAnsi="仿宋"/>
        </w:rPr>
        <w:t>”</w:t>
      </w:r>
      <w:r>
        <w:rPr>
          <w:rFonts w:hint="eastAsia" w:ascii="仿宋" w:hAnsi="仿宋"/>
        </w:rPr>
        <w:t>时期是揭东区</w:t>
      </w:r>
      <w:r>
        <w:rPr>
          <w:rFonts w:hint="eastAsia"/>
        </w:rPr>
        <w:t>贯彻落实省委、市委工作部署，围绕“产业现代化、新型城镇化”，努力把揭东建设成为产城乡融合发展示范区的关键期。提升揭东区公共服务发展水平，打造引领国民经济发展新的增长极，是全面构建与社会经济发展水平相适应的公共服务体系的必由之路，是在全面建设社会主义现代化国家新征程中开创新局面、创造新辉煌的重要举措。</w:t>
      </w:r>
    </w:p>
    <w:p>
      <w:pPr>
        <w:ind w:firstLine="640"/>
      </w:pPr>
      <w:r>
        <w:rPr>
          <w:rFonts w:hint="eastAsia"/>
        </w:rPr>
        <w:t>为推进“十四五”时期揭东区公共服务更好更快发展，根据《揭阳市基本公共服务“十四五”规划》《揭东区国民经济和社会发展第十四个五年规划和二〇三五年远景目标纲要》，结合实际，编制本规划。</w:t>
      </w:r>
    </w:p>
    <w:p>
      <w:pPr>
        <w:pStyle w:val="2"/>
      </w:pPr>
      <w:bookmarkStart w:id="3" w:name="_Toc64966195"/>
      <w:bookmarkStart w:id="4" w:name="_Toc66112103"/>
      <w:bookmarkStart w:id="5" w:name="_Toc85620512"/>
      <w:r>
        <w:rPr>
          <w:rFonts w:hint="eastAsia"/>
        </w:rPr>
        <w:t>一、发展基础</w:t>
      </w:r>
      <w:bookmarkEnd w:id="3"/>
      <w:bookmarkEnd w:id="4"/>
      <w:r>
        <w:rPr>
          <w:rFonts w:hint="eastAsia"/>
        </w:rPr>
        <w:t>与形势</w:t>
      </w:r>
      <w:bookmarkEnd w:id="5"/>
    </w:p>
    <w:p>
      <w:pPr>
        <w:pStyle w:val="3"/>
      </w:pPr>
      <w:bookmarkStart w:id="6" w:name="_Toc64966196"/>
      <w:bookmarkStart w:id="7" w:name="_Toc66112104"/>
      <w:bookmarkStart w:id="8" w:name="_Toc85620513"/>
      <w:r>
        <w:rPr>
          <w:rFonts w:hint="eastAsia"/>
        </w:rPr>
        <w:t>（一）</w:t>
      </w:r>
      <w:bookmarkEnd w:id="6"/>
      <w:bookmarkEnd w:id="7"/>
      <w:r>
        <w:rPr>
          <w:rFonts w:hint="eastAsia"/>
        </w:rPr>
        <w:t>发展基础</w:t>
      </w:r>
      <w:bookmarkEnd w:id="8"/>
    </w:p>
    <w:p>
      <w:pPr>
        <w:widowControl/>
        <w:adjustRightInd/>
        <w:snapToGrid/>
        <w:ind w:firstLine="640"/>
        <w:rPr>
          <w:rFonts w:ascii="仿宋" w:hAnsi="仿宋" w:cs="宋体"/>
          <w:kern w:val="0"/>
          <w:szCs w:val="32"/>
        </w:rPr>
      </w:pPr>
      <w:r>
        <w:rPr>
          <w:rFonts w:hint="eastAsia" w:ascii="仿宋" w:hAnsi="仿宋" w:cs="宋体"/>
          <w:kern w:val="0"/>
          <w:szCs w:val="32"/>
        </w:rPr>
        <w:t>“十三五”时期，区委、区政府团结带领全区人民，加快建设统筹城乡的基本公共服务体系，着力提高基本公共服务均等化水平和质量，基本实现了“学有所教、劳有所得、病有所医、老有所养、住有所居”的目标，</w:t>
      </w:r>
      <w:r>
        <w:rPr>
          <w:kern w:val="0"/>
          <w:szCs w:val="32"/>
        </w:rPr>
        <w:t>居民获得感和满意度进一步提升。</w:t>
      </w:r>
    </w:p>
    <w:p>
      <w:pPr>
        <w:ind w:firstLine="643"/>
      </w:pPr>
      <w:bookmarkStart w:id="9" w:name="_Toc31165"/>
      <w:bookmarkStart w:id="10" w:name="_Toc66112105"/>
      <w:r>
        <w:rPr>
          <w:rFonts w:hint="eastAsia" w:ascii="楷体" w:hAnsi="楷体" w:eastAsia="楷体"/>
          <w:b/>
          <w:bCs/>
        </w:rPr>
        <w:t>就业和创业服务取得新成效。</w:t>
      </w:r>
      <w:r>
        <w:rPr>
          <w:rFonts w:hint="eastAsia"/>
        </w:rPr>
        <w:t>就业形势更加稳定，企业用工服务保障加强，扶持创业就业政策文件相继出台印发，就业创业资金支持力度加大，大力开发公益性岗位、扶贫车间，积极开展广东技工、粤菜师傅、南粤家政三大工程培训，十三五期间，我区城镇新增就业人数</w:t>
      </w:r>
      <w:r>
        <w:t>22568</w:t>
      </w:r>
      <w:r>
        <w:rPr>
          <w:rFonts w:hint="eastAsia"/>
        </w:rPr>
        <w:t>人，促进创业人数</w:t>
      </w:r>
      <w:r>
        <w:t>1987</w:t>
      </w:r>
      <w:r>
        <w:rPr>
          <w:rFonts w:hint="eastAsia"/>
        </w:rPr>
        <w:t>人，就业困难人员就业人数1</w:t>
      </w:r>
      <w:r>
        <w:t>779</w:t>
      </w:r>
      <w:r>
        <w:rPr>
          <w:rFonts w:hint="eastAsia"/>
        </w:rPr>
        <w:t>人，城镇登记事业率控制在</w:t>
      </w:r>
      <w:r>
        <w:t>3.2</w:t>
      </w:r>
      <w:r>
        <w:rPr>
          <w:rFonts w:hint="eastAsia"/>
        </w:rPr>
        <w:t>%以内，劳动关系更加和谐，严格保障农民工工资支付，突出重点企业、重点区域、重点项目，及时解决劳资纠纷，维护了社会稳定，全区没有因拖欠工人工资引发30人以上群体上访事件发生。同时，加快建立完善与疫情防控相适应的就业创业政策，加强企业用工服务保障，建立2</w:t>
      </w:r>
      <w:r>
        <w:t>4</w:t>
      </w:r>
      <w:r>
        <w:rPr>
          <w:rFonts w:hint="eastAsia"/>
        </w:rPr>
        <w:t>小时重点企业用工调度保障机制和完善网络招聘机制，制定1+</w:t>
      </w:r>
      <w:r>
        <w:t>4</w:t>
      </w:r>
      <w:r>
        <w:rPr>
          <w:rFonts w:hint="eastAsia"/>
        </w:rPr>
        <w:t>工作方案应对失业风险，2</w:t>
      </w:r>
      <w:r>
        <w:t>020</w:t>
      </w:r>
      <w:r>
        <w:rPr>
          <w:rFonts w:hint="eastAsia"/>
        </w:rPr>
        <w:t>年，企业平均用工稳定率接近9</w:t>
      </w:r>
      <w:r>
        <w:t>0</w:t>
      </w:r>
      <w:r>
        <w:rPr>
          <w:rFonts w:hint="eastAsia"/>
        </w:rPr>
        <w:t>%。</w:t>
      </w:r>
    </w:p>
    <w:p>
      <w:pPr>
        <w:ind w:firstLine="643"/>
      </w:pPr>
      <w:r>
        <w:rPr>
          <w:rFonts w:hint="eastAsia" w:ascii="楷体" w:hAnsi="楷体" w:eastAsia="楷体"/>
          <w:b/>
          <w:bCs/>
        </w:rPr>
        <w:t>公共教育质量和均等化程度实现新跨越。</w:t>
      </w:r>
      <w:r>
        <w:rPr>
          <w:rFonts w:hint="eastAsia"/>
        </w:rPr>
        <w:t>教育事业总体水平迈上新台阶，在全市实现“五个率先”：率先实现教育强镇全覆盖、率先建成广东省教育强区、率先建成“全国义务教育发展基本均衡区”、率先实现教育强镇复评全覆盖、率先建成“广东省推进教育现代化先进区”。学前教育“入园难”问题有效缓解，2</w:t>
      </w:r>
      <w:r>
        <w:t>020</w:t>
      </w:r>
      <w:r>
        <w:rPr>
          <w:rFonts w:hint="eastAsia"/>
        </w:rPr>
        <w:t>年，全区学前教育毛入学率9</w:t>
      </w:r>
      <w:r>
        <w:t>8.16</w:t>
      </w:r>
      <w:r>
        <w:rPr>
          <w:rFonts w:hint="eastAsia"/>
        </w:rPr>
        <w:t>%，公办幼儿园在园幼儿占比5</w:t>
      </w:r>
      <w:r>
        <w:t>0.1</w:t>
      </w:r>
      <w:r>
        <w:rPr>
          <w:rFonts w:hint="eastAsia"/>
        </w:rPr>
        <w:t>%，公办幼儿园和普惠民办幼儿园在园幼儿占比为9</w:t>
      </w:r>
      <w:r>
        <w:t>4.2</w:t>
      </w:r>
      <w:r>
        <w:rPr>
          <w:rFonts w:hint="eastAsia"/>
        </w:rPr>
        <w:t>%。城乡义务教育办学条件不断提高，普及高中教育阶段教育得到巩固提高，中职教育布局更加合理，特殊教育进一步发展，2</w:t>
      </w:r>
      <w:r>
        <w:t>020</w:t>
      </w:r>
      <w:r>
        <w:rPr>
          <w:rFonts w:hint="eastAsia"/>
        </w:rPr>
        <w:t>年，全区小学生巩固率为1</w:t>
      </w:r>
      <w:r>
        <w:t>00</w:t>
      </w:r>
      <w:r>
        <w:rPr>
          <w:rFonts w:hint="eastAsia"/>
        </w:rPr>
        <w:t>%，初中生辍学率为0</w:t>
      </w:r>
      <w:r>
        <w:t>.5</w:t>
      </w:r>
      <w:r>
        <w:rPr>
          <w:rFonts w:hint="eastAsia"/>
        </w:rPr>
        <w:t>%，全日制高中阶段教育毛入学率9</w:t>
      </w:r>
      <w:r>
        <w:t>5</w:t>
      </w:r>
      <w:r>
        <w:rPr>
          <w:rFonts w:hint="eastAsia"/>
        </w:rPr>
        <w:t>%，三残儿童少年入学率1</w:t>
      </w:r>
      <w:r>
        <w:t>00</w:t>
      </w:r>
      <w:r>
        <w:rPr>
          <w:rFonts w:hint="eastAsia"/>
        </w:rPr>
        <w:t>%。教育公平实现进一步推进，“县管校聘”深化实施，城乡教师队伍结构日益优化；城乡免费义务教育公用经费补助标准、分担比例和拨付方式得到统一；助学制度更加完善、助学范围不断扩大，非义务教育学生入读公办学校比例（不含西部五镇一街）达到9</w:t>
      </w:r>
      <w:r>
        <w:t>5</w:t>
      </w:r>
      <w:r>
        <w:rPr>
          <w:rFonts w:hint="eastAsia"/>
        </w:rPr>
        <w:t>%。</w:t>
      </w:r>
    </w:p>
    <w:p>
      <w:pPr>
        <w:ind w:firstLine="643"/>
      </w:pPr>
      <w:r>
        <w:rPr>
          <w:rFonts w:hint="eastAsia" w:ascii="楷体" w:hAnsi="楷体" w:eastAsia="楷体"/>
          <w:b/>
          <w:bCs/>
        </w:rPr>
        <w:t>社会保障统筹水平得到新提升。</w:t>
      </w:r>
      <w:r>
        <w:rPr>
          <w:rFonts w:hint="eastAsia"/>
          <w:kern w:val="0"/>
          <w:szCs w:val="32"/>
        </w:rPr>
        <w:t>“十三五”期间，切实抓好企业养老保险和城乡居民养老保险参保扩面征缴工作，组织实施企业养老保险省级统筹工作，积极隐妥地推进机关事业单位社保改革，到2020年，企业职工、机关事业单位、城乡居民养老保险参保人数达到5.</w:t>
      </w:r>
      <w:r>
        <w:rPr>
          <w:kern w:val="0"/>
          <w:szCs w:val="32"/>
        </w:rPr>
        <w:t>04</w:t>
      </w:r>
      <w:r>
        <w:rPr>
          <w:rFonts w:hint="eastAsia"/>
          <w:kern w:val="0"/>
          <w:szCs w:val="32"/>
        </w:rPr>
        <w:t>万人、1.5</w:t>
      </w:r>
      <w:r>
        <w:rPr>
          <w:kern w:val="0"/>
          <w:szCs w:val="32"/>
        </w:rPr>
        <w:t>9</w:t>
      </w:r>
      <w:r>
        <w:rPr>
          <w:rFonts w:hint="eastAsia"/>
          <w:kern w:val="0"/>
          <w:szCs w:val="32"/>
        </w:rPr>
        <w:t>万人、</w:t>
      </w:r>
      <w:r>
        <w:rPr>
          <w:kern w:val="0"/>
          <w:szCs w:val="32"/>
        </w:rPr>
        <w:t>42.03</w:t>
      </w:r>
      <w:r>
        <w:rPr>
          <w:rFonts w:hint="eastAsia"/>
          <w:kern w:val="0"/>
          <w:szCs w:val="32"/>
        </w:rPr>
        <w:t>万人，失业、工商参保人数2.</w:t>
      </w:r>
      <w:r>
        <w:rPr>
          <w:kern w:val="0"/>
          <w:szCs w:val="32"/>
        </w:rPr>
        <w:t>90</w:t>
      </w:r>
      <w:r>
        <w:rPr>
          <w:rFonts w:hint="eastAsia"/>
          <w:kern w:val="0"/>
          <w:szCs w:val="32"/>
        </w:rPr>
        <w:t>万人、</w:t>
      </w:r>
      <w:r>
        <w:rPr>
          <w:kern w:val="0"/>
          <w:szCs w:val="32"/>
        </w:rPr>
        <w:t>4.31</w:t>
      </w:r>
      <w:r>
        <w:rPr>
          <w:rFonts w:hint="eastAsia"/>
          <w:kern w:val="0"/>
          <w:szCs w:val="32"/>
        </w:rPr>
        <w:t>万人。用足用好援企稳岗社保政策，落实阶段性减、免、退、延社保费政策，出台《关于实施失业保险稳企返还的实施方案》，全力支持企业共渡难关。按时足额支付各项社保待遇，精准落实建档立卡贫困人员和五保低保的社保兜底工作。工伤、失业、养老保险的统筹层次稳步提高，实现上线省集中式社保系统，实现养老、失业、工伤三个险种业务升级统一办理、数据共享、服务协同。</w:t>
      </w:r>
    </w:p>
    <w:p>
      <w:pPr>
        <w:ind w:firstLine="643"/>
        <w:rPr>
          <w:kern w:val="0"/>
          <w:szCs w:val="32"/>
        </w:rPr>
      </w:pPr>
      <w:r>
        <w:rPr>
          <w:rFonts w:hint="eastAsia" w:ascii="楷体" w:hAnsi="楷体" w:eastAsia="楷体"/>
          <w:b/>
          <w:bCs/>
        </w:rPr>
        <w:t>医疗卫生和计生服务体系不断加强。</w:t>
      </w:r>
      <w:r>
        <w:rPr>
          <w:rFonts w:hint="eastAsia"/>
          <w:kern w:val="0"/>
          <w:szCs w:val="32"/>
        </w:rPr>
        <w:t>区域医疗卫生资源整合加快，目前全区已经构建东片、西片和城区中心片</w:t>
      </w:r>
      <w:r>
        <w:rPr>
          <w:kern w:val="0"/>
          <w:szCs w:val="32"/>
        </w:rPr>
        <w:t>3</w:t>
      </w:r>
      <w:r>
        <w:rPr>
          <w:rFonts w:hint="eastAsia"/>
          <w:kern w:val="0"/>
          <w:szCs w:val="32"/>
        </w:rPr>
        <w:t>个医共体。东片由区人民医院作为总医院，牵头云路、玉滘、埔田等3家卫生院组件医共体；西片由区第二人民医院作为总医院，牵头锡场、新亨、玉湖等3家卫生院组建医共体；中心片区由妇幼保健计划生育服务中心作为总医院，牵头曲溪社区卫生服务中心组件医共体。卫生基础设施建设迈上新台阶，揭东现有医疗卫生机构5</w:t>
      </w:r>
      <w:r>
        <w:rPr>
          <w:kern w:val="0"/>
          <w:szCs w:val="32"/>
        </w:rPr>
        <w:t>61</w:t>
      </w:r>
      <w:r>
        <w:rPr>
          <w:rFonts w:hint="eastAsia"/>
          <w:kern w:val="0"/>
          <w:szCs w:val="32"/>
        </w:rPr>
        <w:t>个，区中医院新建工程、区妇幼保计生服务中心综合楼、玉湖卫生院综合楼、揭东区人民医院（揭阳市第二人民医院）传染科楼、区疾控中心核算检测室、区第二人民医院核算监测室等一批重点卫生基础设施建设成效显著，东部7镇（街）1</w:t>
      </w:r>
      <w:r>
        <w:rPr>
          <w:kern w:val="0"/>
          <w:szCs w:val="32"/>
        </w:rPr>
        <w:t>12</w:t>
      </w:r>
      <w:r>
        <w:rPr>
          <w:rFonts w:hint="eastAsia"/>
          <w:kern w:val="0"/>
          <w:szCs w:val="32"/>
        </w:rPr>
        <w:t>家村级公建卫生站规范化建设任务全面完成。公共卫生服务管理日益优化，到</w:t>
      </w:r>
      <w:r>
        <w:rPr>
          <w:kern w:val="0"/>
          <w:szCs w:val="32"/>
        </w:rPr>
        <w:t>2020</w:t>
      </w:r>
      <w:r>
        <w:rPr>
          <w:rFonts w:hint="eastAsia"/>
          <w:kern w:val="0"/>
          <w:szCs w:val="32"/>
        </w:rPr>
        <w:t>年，全区每千人口执业（助理）医师数达到</w:t>
      </w:r>
      <w:r>
        <w:rPr>
          <w:kern w:val="0"/>
          <w:szCs w:val="32"/>
        </w:rPr>
        <w:t>1.</w:t>
      </w:r>
      <w:r>
        <w:rPr>
          <w:rFonts w:hint="eastAsia"/>
          <w:kern w:val="0"/>
          <w:szCs w:val="32"/>
          <w:lang w:val="en-US" w:eastAsia="zh-CN"/>
        </w:rPr>
        <w:t>76</w:t>
      </w:r>
      <w:r>
        <w:rPr>
          <w:rFonts w:hint="eastAsia"/>
          <w:kern w:val="0"/>
          <w:szCs w:val="32"/>
        </w:rPr>
        <w:t>人，年均增速</w:t>
      </w:r>
      <w:r>
        <w:rPr>
          <w:kern w:val="0"/>
          <w:szCs w:val="32"/>
        </w:rPr>
        <w:t>22</w:t>
      </w:r>
      <w:r>
        <w:rPr>
          <w:rFonts w:hint="eastAsia"/>
          <w:kern w:val="0"/>
          <w:szCs w:val="32"/>
        </w:rPr>
        <w:t>%，全区建立居民健康电子档案人数8</w:t>
      </w:r>
      <w:r>
        <w:rPr>
          <w:kern w:val="0"/>
          <w:szCs w:val="32"/>
        </w:rPr>
        <w:t>2.24</w:t>
      </w:r>
      <w:r>
        <w:rPr>
          <w:rFonts w:hint="eastAsia"/>
          <w:kern w:val="0"/>
          <w:szCs w:val="32"/>
        </w:rPr>
        <w:t>万人，建档率为8</w:t>
      </w:r>
      <w:r>
        <w:rPr>
          <w:kern w:val="0"/>
          <w:szCs w:val="32"/>
        </w:rPr>
        <w:t>3.29</w:t>
      </w:r>
      <w:r>
        <w:rPr>
          <w:rFonts w:hint="eastAsia"/>
          <w:kern w:val="0"/>
          <w:szCs w:val="32"/>
        </w:rPr>
        <w:t>%，儿童基础免疫接种率、新生儿访视率、孕产孕妇建册率、6</w:t>
      </w:r>
      <w:r>
        <w:rPr>
          <w:kern w:val="0"/>
          <w:szCs w:val="32"/>
        </w:rPr>
        <w:t>5</w:t>
      </w:r>
      <w:r>
        <w:rPr>
          <w:rFonts w:hint="eastAsia"/>
          <w:kern w:val="0"/>
          <w:szCs w:val="32"/>
        </w:rPr>
        <w:t>岁以上老年人健康管理率达到9</w:t>
      </w:r>
      <w:r>
        <w:rPr>
          <w:kern w:val="0"/>
          <w:szCs w:val="32"/>
        </w:rPr>
        <w:t>9.76</w:t>
      </w:r>
      <w:r>
        <w:rPr>
          <w:rFonts w:hint="eastAsia"/>
          <w:kern w:val="0"/>
          <w:szCs w:val="32"/>
        </w:rPr>
        <w:t>%、7</w:t>
      </w:r>
      <w:r>
        <w:rPr>
          <w:kern w:val="0"/>
          <w:szCs w:val="32"/>
        </w:rPr>
        <w:t>6.64</w:t>
      </w:r>
      <w:r>
        <w:rPr>
          <w:rFonts w:hint="eastAsia"/>
          <w:kern w:val="0"/>
          <w:szCs w:val="32"/>
        </w:rPr>
        <w:t>%、7</w:t>
      </w:r>
      <w:r>
        <w:rPr>
          <w:kern w:val="0"/>
          <w:szCs w:val="32"/>
        </w:rPr>
        <w:t>2.81</w:t>
      </w:r>
      <w:r>
        <w:rPr>
          <w:rFonts w:hint="eastAsia"/>
          <w:kern w:val="0"/>
          <w:szCs w:val="32"/>
        </w:rPr>
        <w:t>%、2</w:t>
      </w:r>
      <w:r>
        <w:rPr>
          <w:kern w:val="0"/>
          <w:szCs w:val="32"/>
        </w:rPr>
        <w:t>0.07</w:t>
      </w:r>
      <w:r>
        <w:rPr>
          <w:rFonts w:hint="eastAsia"/>
          <w:kern w:val="0"/>
          <w:szCs w:val="32"/>
        </w:rPr>
        <w:t>%。</w:t>
      </w:r>
    </w:p>
    <w:tbl>
      <w:tblPr>
        <w:tblStyle w:val="23"/>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00"/>
        <w:gridCol w:w="1100"/>
        <w:gridCol w:w="1100"/>
        <w:gridCol w:w="1100"/>
        <w:gridCol w:w="1100"/>
        <w:gridCol w:w="1100"/>
        <w:gridCol w:w="11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Align w:val="center"/>
          </w:tcPr>
          <w:p>
            <w:pPr>
              <w:spacing w:line="280" w:lineRule="exact"/>
              <w:ind w:firstLine="0" w:firstLineChars="0"/>
              <w:jc w:val="center"/>
              <w:rPr>
                <w:rFonts w:ascii="黑体" w:hAnsi="黑体" w:eastAsia="黑体"/>
                <w:b/>
                <w:bCs/>
                <w:kern w:val="0"/>
                <w:sz w:val="24"/>
                <w:szCs w:val="24"/>
              </w:rPr>
            </w:pPr>
            <w:r>
              <w:rPr>
                <w:rFonts w:hint="eastAsia" w:ascii="黑体" w:hAnsi="黑体" w:eastAsia="黑体"/>
                <w:b/>
                <w:bCs/>
                <w:kern w:val="0"/>
                <w:sz w:val="24"/>
                <w:szCs w:val="24"/>
              </w:rPr>
              <w:t xml:space="preserve">机 </w:t>
            </w:r>
            <w:r>
              <w:rPr>
                <w:rFonts w:ascii="黑体" w:hAnsi="黑体" w:eastAsia="黑体"/>
                <w:b/>
                <w:bCs/>
                <w:kern w:val="0"/>
                <w:sz w:val="24"/>
                <w:szCs w:val="24"/>
              </w:rPr>
              <w:t xml:space="preserve"> </w:t>
            </w:r>
            <w:r>
              <w:rPr>
                <w:rFonts w:hint="eastAsia" w:ascii="黑体" w:hAnsi="黑体" w:eastAsia="黑体"/>
                <w:b/>
                <w:bCs/>
                <w:kern w:val="0"/>
                <w:sz w:val="24"/>
                <w:szCs w:val="24"/>
              </w:rPr>
              <w:t>构</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区级医疗卫生机构</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镇级卫生院</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社区卫生服务中心</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卫生所</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村卫生室</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属地管理的市级医疗机构</w:t>
            </w:r>
          </w:p>
        </w:tc>
        <w:tc>
          <w:tcPr>
            <w:tcW w:w="555"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民营医院</w:t>
            </w:r>
          </w:p>
        </w:tc>
        <w:tc>
          <w:tcPr>
            <w:tcW w:w="556" w:type="pct"/>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民营急救站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pct"/>
            <w:vAlign w:val="center"/>
          </w:tcPr>
          <w:p>
            <w:pPr>
              <w:spacing w:line="240" w:lineRule="auto"/>
              <w:ind w:firstLine="0" w:firstLineChars="0"/>
              <w:jc w:val="center"/>
              <w:rPr>
                <w:rFonts w:ascii="黑体" w:hAnsi="黑体" w:eastAsia="黑体"/>
                <w:b/>
                <w:bCs/>
                <w:kern w:val="0"/>
                <w:sz w:val="24"/>
                <w:szCs w:val="24"/>
              </w:rPr>
            </w:pPr>
            <w:r>
              <w:rPr>
                <w:rFonts w:hint="eastAsia" w:ascii="黑体" w:hAnsi="黑体" w:eastAsia="黑体"/>
                <w:b/>
                <w:bCs/>
                <w:kern w:val="0"/>
                <w:sz w:val="24"/>
                <w:szCs w:val="24"/>
              </w:rPr>
              <w:t xml:space="preserve">数 </w:t>
            </w:r>
            <w:r>
              <w:rPr>
                <w:rFonts w:ascii="黑体" w:hAnsi="黑体" w:eastAsia="黑体"/>
                <w:b/>
                <w:bCs/>
                <w:kern w:val="0"/>
                <w:sz w:val="24"/>
                <w:szCs w:val="24"/>
              </w:rPr>
              <w:t xml:space="preserve"> </w:t>
            </w:r>
            <w:r>
              <w:rPr>
                <w:rFonts w:hint="eastAsia" w:ascii="黑体" w:hAnsi="黑体" w:eastAsia="黑体"/>
                <w:b/>
                <w:bCs/>
                <w:kern w:val="0"/>
                <w:sz w:val="24"/>
                <w:szCs w:val="24"/>
              </w:rPr>
              <w:t>量</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9</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1</w:t>
            </w:r>
            <w:r>
              <w:rPr>
                <w:kern w:val="0"/>
                <w:sz w:val="22"/>
                <w:szCs w:val="22"/>
              </w:rPr>
              <w:t>1</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2</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1</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4</w:t>
            </w:r>
            <w:r>
              <w:rPr>
                <w:kern w:val="0"/>
                <w:sz w:val="22"/>
                <w:szCs w:val="22"/>
              </w:rPr>
              <w:t>92</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2</w:t>
            </w:r>
          </w:p>
        </w:tc>
        <w:tc>
          <w:tcPr>
            <w:tcW w:w="555" w:type="pct"/>
            <w:vAlign w:val="center"/>
          </w:tcPr>
          <w:p>
            <w:pPr>
              <w:spacing w:line="240" w:lineRule="auto"/>
              <w:ind w:firstLine="0" w:firstLineChars="0"/>
              <w:jc w:val="center"/>
              <w:rPr>
                <w:kern w:val="0"/>
                <w:sz w:val="22"/>
                <w:szCs w:val="22"/>
              </w:rPr>
            </w:pPr>
            <w:r>
              <w:rPr>
                <w:rFonts w:hint="eastAsia"/>
                <w:kern w:val="0"/>
                <w:sz w:val="22"/>
                <w:szCs w:val="22"/>
              </w:rPr>
              <w:t>8</w:t>
            </w:r>
          </w:p>
        </w:tc>
        <w:tc>
          <w:tcPr>
            <w:tcW w:w="556" w:type="pct"/>
            <w:vAlign w:val="center"/>
          </w:tcPr>
          <w:p>
            <w:pPr>
              <w:spacing w:line="240" w:lineRule="auto"/>
              <w:ind w:firstLine="0" w:firstLineChars="0"/>
              <w:jc w:val="center"/>
              <w:rPr>
                <w:kern w:val="0"/>
                <w:sz w:val="22"/>
                <w:szCs w:val="22"/>
              </w:rPr>
            </w:pPr>
            <w:r>
              <w:rPr>
                <w:rFonts w:hint="eastAsia"/>
                <w:kern w:val="0"/>
                <w:sz w:val="22"/>
                <w:szCs w:val="22"/>
              </w:rPr>
              <w:t>1</w:t>
            </w:r>
          </w:p>
        </w:tc>
      </w:tr>
    </w:tbl>
    <w:p>
      <w:pPr>
        <w:ind w:firstLine="643"/>
      </w:pPr>
      <w:r>
        <w:rPr>
          <w:rFonts w:hint="eastAsia" w:ascii="楷体" w:hAnsi="楷体" w:eastAsia="楷体"/>
          <w:b/>
          <w:bCs/>
        </w:rPr>
        <w:t>公共文化体育繁荣发展。</w:t>
      </w:r>
      <w:r>
        <w:rPr>
          <w:rFonts w:hint="eastAsia"/>
          <w:kern w:val="0"/>
          <w:szCs w:val="32"/>
        </w:rPr>
        <w:t>全区三级公共文化服务设施网络初步建成，现有区级文化站1个、图书馆1个、博物馆1个，镇（街）建有综合文化站1</w:t>
      </w:r>
      <w:r>
        <w:rPr>
          <w:kern w:val="0"/>
          <w:szCs w:val="32"/>
        </w:rPr>
        <w:t>3</w:t>
      </w:r>
      <w:r>
        <w:rPr>
          <w:rFonts w:hint="eastAsia"/>
          <w:kern w:val="0"/>
          <w:szCs w:val="32"/>
        </w:rPr>
        <w:t>个，村（社）建有综合性文化服务中心2</w:t>
      </w:r>
      <w:r>
        <w:rPr>
          <w:kern w:val="0"/>
          <w:szCs w:val="32"/>
        </w:rPr>
        <w:t>11</w:t>
      </w:r>
      <w:r>
        <w:rPr>
          <w:rFonts w:hint="eastAsia"/>
          <w:kern w:val="0"/>
          <w:szCs w:val="32"/>
        </w:rPr>
        <w:t>个，实现全区、镇（街）、村（社）三级公共文化设施全覆盖。文化馆图书馆总分馆制建设不断推进，《揭东区文化馆总分馆建设方案》《揭东区图书馆总分馆制建设方案》出台，建成1个总馆+</w:t>
      </w:r>
      <w:r>
        <w:rPr>
          <w:kern w:val="0"/>
          <w:szCs w:val="32"/>
        </w:rPr>
        <w:t>8</w:t>
      </w:r>
      <w:r>
        <w:rPr>
          <w:rFonts w:hint="eastAsia"/>
          <w:kern w:val="0"/>
          <w:szCs w:val="32"/>
        </w:rPr>
        <w:t>个分馆+</w:t>
      </w:r>
      <w:r>
        <w:rPr>
          <w:kern w:val="0"/>
          <w:szCs w:val="32"/>
        </w:rPr>
        <w:t>21</w:t>
      </w:r>
      <w:r>
        <w:rPr>
          <w:rFonts w:hint="eastAsia"/>
          <w:kern w:val="0"/>
          <w:szCs w:val="32"/>
        </w:rPr>
        <w:t>个服务点的文化馆总分馆服务体系</w:t>
      </w:r>
      <w:r>
        <w:rPr>
          <w:rStyle w:val="26"/>
          <w:kern w:val="0"/>
          <w:szCs w:val="32"/>
        </w:rPr>
        <w:footnoteReference w:id="0"/>
      </w:r>
      <w:r>
        <w:rPr>
          <w:rFonts w:hint="eastAsia"/>
          <w:kern w:val="0"/>
          <w:szCs w:val="32"/>
        </w:rPr>
        <w:t>，推进1个总馆+</w:t>
      </w:r>
      <w:r>
        <w:rPr>
          <w:kern w:val="0"/>
          <w:szCs w:val="32"/>
        </w:rPr>
        <w:t>7</w:t>
      </w:r>
      <w:r>
        <w:rPr>
          <w:rFonts w:hint="eastAsia"/>
          <w:kern w:val="0"/>
          <w:szCs w:val="32"/>
        </w:rPr>
        <w:t>个分馆+</w:t>
      </w:r>
      <w:r>
        <w:rPr>
          <w:kern w:val="0"/>
          <w:szCs w:val="32"/>
        </w:rPr>
        <w:t>21</w:t>
      </w:r>
      <w:r>
        <w:rPr>
          <w:rFonts w:hint="eastAsia"/>
          <w:kern w:val="0"/>
          <w:szCs w:val="32"/>
        </w:rPr>
        <w:t>个服务点的图书馆总分馆</w:t>
      </w:r>
      <w:r>
        <w:rPr>
          <w:rStyle w:val="26"/>
          <w:kern w:val="0"/>
          <w:szCs w:val="32"/>
        </w:rPr>
        <w:footnoteReference w:id="1"/>
      </w:r>
      <w:r>
        <w:rPr>
          <w:rFonts w:hint="eastAsia"/>
          <w:kern w:val="0"/>
          <w:szCs w:val="32"/>
        </w:rPr>
        <w:t>建设。农村电影放映、送戏下乡活动持续开展，十三五期间，累计放映电影4</w:t>
      </w:r>
      <w:r>
        <w:rPr>
          <w:kern w:val="0"/>
          <w:szCs w:val="32"/>
        </w:rPr>
        <w:t>000</w:t>
      </w:r>
      <w:r>
        <w:rPr>
          <w:rFonts w:hint="eastAsia"/>
          <w:kern w:val="0"/>
          <w:szCs w:val="32"/>
        </w:rPr>
        <w:t>多场，送戏下乡7</w:t>
      </w:r>
      <w:r>
        <w:rPr>
          <w:kern w:val="0"/>
          <w:szCs w:val="32"/>
        </w:rPr>
        <w:t>50</w:t>
      </w:r>
      <w:r>
        <w:rPr>
          <w:rFonts w:hint="eastAsia"/>
          <w:kern w:val="0"/>
          <w:szCs w:val="32"/>
        </w:rPr>
        <w:t>多场，丰富了农村精神生活。健身指导和体育设施供给机制不断完善，全区共有社会体育指导员1</w:t>
      </w:r>
      <w:r>
        <w:rPr>
          <w:kern w:val="0"/>
          <w:szCs w:val="32"/>
        </w:rPr>
        <w:t>700</w:t>
      </w:r>
      <w:r>
        <w:rPr>
          <w:rFonts w:hint="eastAsia"/>
          <w:kern w:val="0"/>
          <w:szCs w:val="32"/>
        </w:rPr>
        <w:t>多人，实现各镇（街）社会体育指导员服务点全覆盖，区级、各镇、乡村（行政村）实现配套器材全覆盖。群众性文体活动广泛开展，举办迎春文艺活动、新春潮剧专场晚会等各类书画展览、文艺展演、汇演活动，组建“文艺轻骑队”，繁荣文艺组作品创作，培育推荐文艺人才和作品，创作出《大国赤子》等一批多样化、高质量、影响大的文艺精品。</w:t>
      </w:r>
    </w:p>
    <w:p>
      <w:pPr>
        <w:ind w:firstLine="643"/>
      </w:pPr>
      <w:r>
        <w:rPr>
          <w:rFonts w:hint="eastAsia" w:ascii="楷体" w:hAnsi="楷体" w:eastAsia="楷体"/>
          <w:b/>
          <w:bCs/>
        </w:rPr>
        <w:t>社会救助和社会福利制度日益完善。</w:t>
      </w:r>
      <w:r>
        <w:t>社会救助水平显著提升</w:t>
      </w:r>
      <w:r>
        <w:rPr>
          <w:rFonts w:hint="eastAsia"/>
        </w:rPr>
        <w:t>，</w:t>
      </w:r>
      <w:r>
        <w:t>城乡低保标准和补差水平年均超过省定的最低标准要求</w:t>
      </w:r>
      <w:r>
        <w:rPr>
          <w:rFonts w:hint="eastAsia"/>
        </w:rPr>
        <w:t>，</w:t>
      </w:r>
      <w:r>
        <w:t>特困供养人员生活供</w:t>
      </w:r>
      <w:r>
        <w:rPr>
          <w:rFonts w:hint="eastAsia"/>
        </w:rPr>
        <w:t>标准不断提高</w:t>
      </w:r>
      <w:r>
        <w:t>。养老服务水平稳步提高</w:t>
      </w:r>
      <w:r>
        <w:rPr>
          <w:rFonts w:hint="eastAsia"/>
        </w:rPr>
        <w:t>，</w:t>
      </w:r>
      <w:r>
        <w:t>全区共有养老机构15家，社区居家养老服务场所205家，养老床位数6497张，每千名老人拥有养老床位数达到36.2张</w:t>
      </w:r>
      <w:r>
        <w:rPr>
          <w:rFonts w:hint="eastAsia"/>
        </w:rPr>
        <w:t>，</w:t>
      </w:r>
      <w:r>
        <w:t>扎实推进老年人福利制度建设，启动老年人居家适老化改造工程。儿童保障能力明显增强</w:t>
      </w:r>
      <w:r>
        <w:rPr>
          <w:rFonts w:hint="eastAsia"/>
        </w:rPr>
        <w:t>，</w:t>
      </w:r>
      <w:r>
        <w:t>建立健全孤儿基本生活保障制度、最低养育标准自然增长机制，建成揭东区儿童福利院</w:t>
      </w:r>
      <w:r>
        <w:rPr>
          <w:rFonts w:hint="eastAsia" w:ascii="仿宋" w:hAnsi="仿宋"/>
        </w:rPr>
        <w:t>（</w:t>
      </w:r>
      <w:r>
        <w:t>加挂未成年人救助保护中心牌子</w:t>
      </w:r>
      <w:r>
        <w:rPr>
          <w:rFonts w:hint="eastAsia"/>
        </w:rPr>
        <w:t>），</w:t>
      </w:r>
      <w:r>
        <w:t>将困境儿童、农村留守儿童纳入困难群众基本生活保障工作范围，加大农村留守儿童关爱保护力度。慈善志愿事业健康发展</w:t>
      </w:r>
      <w:r>
        <w:rPr>
          <w:rFonts w:hint="eastAsia"/>
        </w:rPr>
        <w:t>，</w:t>
      </w:r>
      <w:r>
        <w:t>围绕赈灾、扶贫、助老、助残、助孤、助学、助医、环保、疫情防控等领域开展了慈善捐赠活动</w:t>
      </w:r>
      <w:r>
        <w:rPr>
          <w:rFonts w:hint="eastAsia"/>
        </w:rPr>
        <w:t>。殡葬改革及管理强力推进，强仪馆改扩建工程基本完成，遗体火化率达l0</w:t>
      </w:r>
      <w:r>
        <w:t>0</w:t>
      </w:r>
      <w:r>
        <w:rPr>
          <w:rFonts w:hint="eastAsia"/>
        </w:rPr>
        <w:t>%。社工人才队伍迅猛发展，打造“三社联动”机制，组织开展“关爱困境儿童”、“开放社区课堂”、“关爱空巢老人”、“疫情防控宣传”等活动。</w:t>
      </w:r>
    </w:p>
    <w:p>
      <w:pPr>
        <w:pStyle w:val="3"/>
      </w:pPr>
      <w:bookmarkStart w:id="11" w:name="_Toc85620514"/>
      <w:r>
        <w:rPr>
          <w:rFonts w:hint="eastAsia"/>
        </w:rPr>
        <w:t>（二）发展短板</w:t>
      </w:r>
      <w:bookmarkEnd w:id="11"/>
    </w:p>
    <w:p>
      <w:pPr>
        <w:ind w:firstLine="643"/>
        <w:rPr>
          <w:rFonts w:ascii="楷体" w:hAnsi="楷体" w:eastAsia="楷体"/>
          <w:b/>
          <w:bCs/>
        </w:rPr>
      </w:pPr>
      <w:r>
        <w:rPr>
          <w:rFonts w:hint="eastAsia" w:ascii="楷体" w:hAnsi="楷体" w:eastAsia="楷体"/>
          <w:b/>
          <w:bCs/>
        </w:rPr>
        <w:t>总体上看：</w:t>
      </w:r>
    </w:p>
    <w:p>
      <w:pPr>
        <w:ind w:firstLine="640"/>
      </w:pPr>
      <w:r>
        <w:rPr>
          <w:rFonts w:hint="eastAsia"/>
          <w:kern w:val="0"/>
          <w:szCs w:val="32"/>
        </w:rPr>
        <w:t>揭东</w:t>
      </w:r>
      <w:r>
        <w:rPr>
          <w:kern w:val="0"/>
          <w:szCs w:val="32"/>
        </w:rPr>
        <w:t>公共服务在设施建设、运营管理、人员队伍、质量效益等方面仍然滞后，尚未与</w:t>
      </w:r>
      <w:r>
        <w:rPr>
          <w:rFonts w:hint="eastAsia"/>
          <w:kern w:val="0"/>
          <w:szCs w:val="32"/>
        </w:rPr>
        <w:t>城乡融合示范区</w:t>
      </w:r>
      <w:r>
        <w:rPr>
          <w:kern w:val="0"/>
          <w:szCs w:val="32"/>
        </w:rPr>
        <w:t>定位紧密对接，也难以满足候鸟人群和各类人才日益增长的多样化需求</w:t>
      </w:r>
      <w:r>
        <w:rPr>
          <w:rFonts w:hint="eastAsia"/>
          <w:kern w:val="0"/>
          <w:szCs w:val="32"/>
        </w:rPr>
        <w:t>；</w:t>
      </w:r>
      <w:r>
        <w:rPr>
          <w:kern w:val="0"/>
          <w:szCs w:val="32"/>
        </w:rPr>
        <w:t>城乡之间、</w:t>
      </w:r>
      <w:r>
        <w:rPr>
          <w:rFonts w:hint="eastAsia"/>
          <w:kern w:val="0"/>
          <w:szCs w:val="32"/>
        </w:rPr>
        <w:t>镇街</w:t>
      </w:r>
      <w:r>
        <w:rPr>
          <w:kern w:val="0"/>
          <w:szCs w:val="32"/>
        </w:rPr>
        <w:t>之间的公共服务差距依然较大，农村、山区、基层和针对贫困人口的服务短板问题比较严重，</w:t>
      </w:r>
      <w:r>
        <w:rPr>
          <w:rFonts w:hint="eastAsia"/>
          <w:kern w:val="0"/>
          <w:szCs w:val="32"/>
        </w:rPr>
        <w:t>东部地区与西部五镇</w:t>
      </w:r>
      <w:r>
        <w:rPr>
          <w:kern w:val="0"/>
          <w:szCs w:val="32"/>
        </w:rPr>
        <w:t>公共服务均等化目标</w:t>
      </w:r>
      <w:r>
        <w:rPr>
          <w:rFonts w:hint="eastAsia"/>
          <w:kern w:val="0"/>
          <w:szCs w:val="32"/>
        </w:rPr>
        <w:t>实现</w:t>
      </w:r>
      <w:r>
        <w:rPr>
          <w:kern w:val="0"/>
          <w:szCs w:val="32"/>
        </w:rPr>
        <w:t>还有明显距离；公共服务体制机制创新动力不足，跨领域的政策统筹协调和资源共享利用不到位，市场和社会力量的参与程度、公共服务整体的信息化和智慧化程度都有待提高。</w:t>
      </w:r>
    </w:p>
    <w:p>
      <w:pPr>
        <w:ind w:firstLine="643"/>
        <w:rPr>
          <w:rFonts w:ascii="楷体" w:hAnsi="楷体" w:eastAsia="楷体"/>
          <w:b/>
          <w:bCs/>
        </w:rPr>
      </w:pPr>
      <w:r>
        <w:rPr>
          <w:rFonts w:hint="eastAsia" w:ascii="楷体" w:hAnsi="楷体" w:eastAsia="楷体"/>
          <w:b/>
          <w:bCs/>
        </w:rPr>
        <w:t>分领域看：</w:t>
      </w:r>
    </w:p>
    <w:p>
      <w:pPr>
        <w:widowControl/>
        <w:adjustRightInd/>
        <w:snapToGrid/>
        <w:ind w:firstLine="640"/>
        <w:rPr>
          <w:kern w:val="0"/>
          <w:szCs w:val="32"/>
        </w:rPr>
      </w:pPr>
      <w:r>
        <w:rPr>
          <w:rFonts w:hint="eastAsia"/>
          <w:kern w:val="0"/>
          <w:szCs w:val="32"/>
        </w:rPr>
        <w:t>人口发展方面，一是保持适度生育水平压力较大，揭东生育水平存在持续走低、人口规模增长势头减弱并持续下降的风险。二是人口规模与资源环境承载能力的矛盾更加突出，2</w:t>
      </w:r>
      <w:r>
        <w:rPr>
          <w:kern w:val="0"/>
          <w:szCs w:val="32"/>
        </w:rPr>
        <w:t>020</w:t>
      </w:r>
      <w:r>
        <w:rPr>
          <w:rFonts w:hint="eastAsia"/>
          <w:kern w:val="0"/>
          <w:szCs w:val="32"/>
        </w:rPr>
        <w:t>年，揭东人口密度（1340人/km</w:t>
      </w:r>
      <w:r>
        <w:rPr>
          <w:rFonts w:ascii="Calibri" w:hAnsi="Calibri" w:cs="Calibri"/>
          <w:kern w:val="0"/>
          <w:szCs w:val="32"/>
        </w:rPr>
        <w:t>²</w:t>
      </w:r>
      <w:r>
        <w:rPr>
          <w:rFonts w:hint="eastAsia"/>
          <w:kern w:val="0"/>
          <w:szCs w:val="32"/>
        </w:rPr>
        <w:t>）已经是全国人口密度（1</w:t>
      </w:r>
      <w:r>
        <w:rPr>
          <w:kern w:val="0"/>
          <w:szCs w:val="32"/>
        </w:rPr>
        <w:t>50.4</w:t>
      </w:r>
      <w:r>
        <w:rPr>
          <w:rFonts w:hint="eastAsia"/>
          <w:kern w:val="0"/>
          <w:szCs w:val="32"/>
        </w:rPr>
        <w:t>人/ km</w:t>
      </w:r>
      <w:r>
        <w:rPr>
          <w:rFonts w:ascii="Calibri" w:hAnsi="Calibri" w:cs="Calibri"/>
          <w:kern w:val="0"/>
          <w:szCs w:val="32"/>
        </w:rPr>
        <w:t>²</w:t>
      </w:r>
      <w:r>
        <w:rPr>
          <w:rFonts w:hint="eastAsia"/>
          <w:kern w:val="0"/>
          <w:szCs w:val="32"/>
        </w:rPr>
        <w:t>）的</w:t>
      </w:r>
      <w:r>
        <w:rPr>
          <w:kern w:val="0"/>
          <w:szCs w:val="32"/>
        </w:rPr>
        <w:t>8.9</w:t>
      </w:r>
      <w:r>
        <w:rPr>
          <w:rFonts w:hint="eastAsia"/>
          <w:kern w:val="0"/>
          <w:szCs w:val="32"/>
        </w:rPr>
        <w:t>倍，是广东省人口密度（</w:t>
      </w:r>
      <w:r>
        <w:rPr>
          <w:kern w:val="0"/>
          <w:szCs w:val="32"/>
        </w:rPr>
        <w:t>481</w:t>
      </w:r>
      <w:r>
        <w:rPr>
          <w:rFonts w:hint="eastAsia"/>
          <w:kern w:val="0"/>
          <w:szCs w:val="32"/>
        </w:rPr>
        <w:t>人/km</w:t>
      </w:r>
      <w:r>
        <w:rPr>
          <w:rFonts w:ascii="Calibri" w:hAnsi="Calibri" w:cs="Calibri"/>
          <w:kern w:val="0"/>
          <w:szCs w:val="32"/>
        </w:rPr>
        <w:t>²</w:t>
      </w:r>
      <w:r>
        <w:rPr>
          <w:rFonts w:hint="eastAsia"/>
          <w:kern w:val="0"/>
          <w:szCs w:val="32"/>
        </w:rPr>
        <w:t>）的2</w:t>
      </w:r>
      <w:r>
        <w:rPr>
          <w:kern w:val="0"/>
          <w:szCs w:val="32"/>
        </w:rPr>
        <w:t>.8</w:t>
      </w:r>
      <w:r>
        <w:rPr>
          <w:rFonts w:hint="eastAsia"/>
          <w:kern w:val="0"/>
          <w:szCs w:val="32"/>
        </w:rPr>
        <w:t>倍，对资源环境的压力将更加突出。三是人口老龄化加速的不利影响加大，2</w:t>
      </w:r>
      <w:r>
        <w:rPr>
          <w:kern w:val="0"/>
          <w:szCs w:val="32"/>
        </w:rPr>
        <w:t>020</w:t>
      </w:r>
      <w:r>
        <w:rPr>
          <w:rFonts w:hint="eastAsia"/>
          <w:kern w:val="0"/>
          <w:szCs w:val="32"/>
        </w:rPr>
        <w:t>年13个镇街道65岁及以上老年人口比重超过7%，其中，6个镇65岁及以上老年人口比重超过14%，社会保障和公共服务压力将明显增加。四是人口素质有待进一步提升，揭东大专以上教育程度就业人口比例</w:t>
      </w:r>
      <w:r>
        <w:rPr>
          <w:rStyle w:val="26"/>
          <w:kern w:val="0"/>
          <w:szCs w:val="32"/>
        </w:rPr>
        <w:footnoteReference w:id="2"/>
      </w:r>
      <w:r>
        <w:rPr>
          <w:rFonts w:hint="eastAsia"/>
          <w:kern w:val="0"/>
          <w:szCs w:val="32"/>
        </w:rPr>
        <w:t>低于全国平均水平，人口健康面临慢病人口增加、亚健康人群越来越庞大的威胁。五是人口城镇化面临较多挑战，人口城镇化水平仍然较低，中心城区、镇街、村社协调发展的局面尚未全面形成，西部“五镇一街”的人口集聚和辐射功能仍然偏弱，公共服务供给与人口发展需求的矛盾仍将长期存在。六是家庭发展能力问题日益突出，空巢家庭、单亲家庭、独身家庭及其他新型家庭形式出现，不利于发挥家庭情感维系、经济创新、健康、生育、养育、养老等功能。七是流动人口综合管理与公共服务面临一系列问题，外来流动人口居留方式日趋常住化和家庭化，但其城市融合程度不高，给城市公共服务供给和综合治理带来新的考验。</w:t>
      </w:r>
    </w:p>
    <w:p>
      <w:pPr>
        <w:widowControl/>
        <w:adjustRightInd/>
        <w:snapToGrid/>
        <w:ind w:firstLine="640"/>
        <w:rPr>
          <w:kern w:val="0"/>
          <w:szCs w:val="32"/>
        </w:rPr>
      </w:pPr>
      <w:r>
        <w:rPr>
          <w:rFonts w:hint="eastAsia"/>
          <w:kern w:val="0"/>
          <w:szCs w:val="32"/>
        </w:rPr>
        <w:t>就业和创业服务领域，一是职工工资偏低，工资增长幅度赶不上物价上涨水平，当前一线职工工资月平均水平在3</w:t>
      </w:r>
      <w:r>
        <w:rPr>
          <w:kern w:val="0"/>
          <w:szCs w:val="32"/>
        </w:rPr>
        <w:t>650</w:t>
      </w:r>
      <w:r>
        <w:rPr>
          <w:rFonts w:hint="eastAsia"/>
          <w:kern w:val="0"/>
          <w:szCs w:val="32"/>
        </w:rPr>
        <w:t>元左右，虽然有了一定增长，但普遍低于社会平均工资（2</w:t>
      </w:r>
      <w:r>
        <w:rPr>
          <w:kern w:val="0"/>
          <w:szCs w:val="32"/>
        </w:rPr>
        <w:t>019</w:t>
      </w:r>
      <w:r>
        <w:rPr>
          <w:rFonts w:hint="eastAsia"/>
          <w:kern w:val="0"/>
          <w:szCs w:val="32"/>
        </w:rPr>
        <w:t>年为4</w:t>
      </w:r>
      <w:r>
        <w:rPr>
          <w:kern w:val="0"/>
          <w:szCs w:val="32"/>
        </w:rPr>
        <w:t>720</w:t>
      </w:r>
      <w:r>
        <w:rPr>
          <w:rFonts w:hint="eastAsia"/>
          <w:kern w:val="0"/>
          <w:szCs w:val="32"/>
        </w:rPr>
        <w:t>元/每月），且不能满足物价上涨所带来的的生活压力。二是部分企业用工规范化、劳动合同规范化有待强化，国家规定的劳动条件和劳动标准得不到规范落实。三是劳动维权、信访维稳形势依然严峻，特别是工程建设领域劳资纠纷时有发生。四是职业技能培训积极性依然不高，由于高效扩招，尽管实行免费职业培训，人们能就读普通高校，而报读技工学校的兴趣不高，至于农民工、失业人员的技能培训的积极性普遍也偏低。</w:t>
      </w:r>
    </w:p>
    <w:p>
      <w:pPr>
        <w:widowControl/>
        <w:adjustRightInd/>
        <w:snapToGrid/>
        <w:ind w:firstLine="640"/>
        <w:rPr>
          <w:kern w:val="0"/>
          <w:szCs w:val="32"/>
        </w:rPr>
      </w:pPr>
      <w:r>
        <w:rPr>
          <w:rFonts w:hint="eastAsia"/>
          <w:kern w:val="0"/>
          <w:szCs w:val="32"/>
        </w:rPr>
        <w:t>公共教育领域，一是与教育现代相配套的教育发展理念还需深化，育人模式还需优化，“唯分”“唯升学率”思想仍不同程度地存在。二是教育保障水平有待进一步提高，在资金保障上，规划的科学性还学增强，除了保障学校新（改、扩）建工程所需，还要思考如何推动农村学校的文化建设，和特色打造，为农村学校向“小而精、精而美”发展提供更好资金保障。三是教育管理风险意识还需进一步提升，学校政治安全工作、疫情防控、舆情监控应对、作风建设都存在进一步提升空间。</w:t>
      </w:r>
    </w:p>
    <w:p>
      <w:pPr>
        <w:widowControl/>
        <w:adjustRightInd/>
        <w:snapToGrid/>
        <w:ind w:firstLine="640"/>
        <w:rPr>
          <w:kern w:val="0"/>
          <w:szCs w:val="32"/>
        </w:rPr>
      </w:pPr>
      <w:r>
        <w:rPr>
          <w:rFonts w:hint="eastAsia"/>
          <w:kern w:val="0"/>
          <w:szCs w:val="32"/>
        </w:rPr>
        <w:t>社会保障统筹领域，一是养老服务体系建设不够完善，养老专项经费缺口较大，养老服务基础设施、专业队伍、产业发展、社会认知水平仍有较大提升空间，养老服务城乡发展不平衡，农村敬老院设施简陋、功能单一，经费无保障，护理型床位占比低，护理人员不足。二是重点项目建设资金缺口较大，殡仪馆改建等项目资金仍存在较大资金缺口。三是养老制度向纵深发展阻力特别是社保扩面仍然沉重，揭东是全国第一批社保政策实施的试点县区，企事业单位性质复杂，各单位参差不齐，特别是非财政拨款单位因经济困难，无能力按时足额缴纳养老金和职业年金。</w:t>
      </w:r>
    </w:p>
    <w:p>
      <w:pPr>
        <w:widowControl/>
        <w:adjustRightInd/>
        <w:snapToGrid/>
        <w:ind w:firstLine="640"/>
        <w:rPr>
          <w:kern w:val="0"/>
          <w:szCs w:val="32"/>
        </w:rPr>
      </w:pPr>
      <w:r>
        <w:rPr>
          <w:rFonts w:hint="eastAsia"/>
          <w:kern w:val="0"/>
          <w:szCs w:val="32"/>
        </w:rPr>
        <w:t>医疗卫生和计生服务领域，虽然近年来揭东卫生健康事业取得了较好的成效，但对照省、市的要求和人民群众的期盼还有一定差距，主要表现在：一是卫生事业发展不平衡、不充分。各基层医疗卫生服务能力总体较好，但区级的医疗机构服务能力就明显不足，区第一人民医院作为三级诊疗防治体系的龙头作用有待进一步提升，区中医院、妇幼保健院仍是我区的突出短板，急需尽快补齐。二是卫生专业人才短缺，全区每千常住人口拥有执业（助理）医生数1</w:t>
      </w:r>
      <w:r>
        <w:rPr>
          <w:kern w:val="0"/>
          <w:szCs w:val="32"/>
        </w:rPr>
        <w:t>.75</w:t>
      </w:r>
      <w:r>
        <w:rPr>
          <w:rFonts w:hint="eastAsia"/>
          <w:kern w:val="0"/>
          <w:szCs w:val="32"/>
        </w:rPr>
        <w:t>人，与省卫生创强的要求的每千常住人口拥有职业（助理）医生2</w:t>
      </w:r>
      <w:r>
        <w:rPr>
          <w:kern w:val="0"/>
          <w:szCs w:val="32"/>
        </w:rPr>
        <w:t>.8</w:t>
      </w:r>
      <w:r>
        <w:rPr>
          <w:rFonts w:hint="eastAsia"/>
          <w:kern w:val="0"/>
          <w:szCs w:val="32"/>
        </w:rPr>
        <w:t>人仍然存在较大差距。三是西部“五镇一街”的村级卫生站规范化建设进度缓慢，现代医院管理制度建设仍停留在试点阶段。</w:t>
      </w:r>
    </w:p>
    <w:p>
      <w:pPr>
        <w:widowControl/>
        <w:adjustRightInd/>
        <w:snapToGrid/>
        <w:ind w:firstLine="640"/>
        <w:rPr>
          <w:kern w:val="0"/>
          <w:szCs w:val="32"/>
        </w:rPr>
      </w:pPr>
      <w:r>
        <w:rPr>
          <w:rFonts w:hint="eastAsia"/>
          <w:kern w:val="0"/>
          <w:szCs w:val="32"/>
        </w:rPr>
        <w:t>社会救助和社会福利领域，一是精准实施救离政策要求存在一定差距，社会救助资源统筹层次不高、力度不强，分散化、碎片化救助局面还没有根本改变。二是城乡发展不平衡不充分问题依然存在，城乡社区治理和公共服务建设存在较大差距。三是风险防患能力不强，受新冠疫情给经济发展和社会治理体系现代化带来系统挑战，国际形势的复杂性、不稳定性和不确定性增强，国内民生就业压力大，经济上行压力大等现象。</w:t>
      </w:r>
    </w:p>
    <w:p>
      <w:pPr>
        <w:widowControl/>
        <w:adjustRightInd/>
        <w:snapToGrid/>
        <w:ind w:firstLine="640"/>
        <w:rPr>
          <w:kern w:val="0"/>
          <w:szCs w:val="32"/>
        </w:rPr>
      </w:pPr>
      <w:r>
        <w:rPr>
          <w:rFonts w:hint="eastAsia"/>
          <w:kern w:val="0"/>
          <w:szCs w:val="32"/>
        </w:rPr>
        <w:t>公共文化体育方面，一是公共文化服务体系建设有待提升，公共文化场所、基础设施配套、文化活动经费投入亟待优化提升，进一步强化对人民群众对文化体育活动场地、设施需求日益迫切、多元需求的供给，有效激活农村文化体育基本公共服务网络点多面广、未能发挥应有作用的基础设施。二是文旅体人才队伍建设有待加强，全区存在文旅体总量不足、结构不优、青黄不接、文化和旅游市场执法人员紧缺等问题。我区现有基层文化工作专业队伍、专业培训和指导亟待强化。三是文旅体产业规模化程度低，各类文化经营单位主要集中在三大传统项目：娱乐业、网络服务业和出版物零售等，对当前备受社会关注的新兴文化产业经营单位较少。</w:t>
      </w:r>
    </w:p>
    <w:bookmarkEnd w:id="9"/>
    <w:bookmarkEnd w:id="10"/>
    <w:p>
      <w:pPr>
        <w:pStyle w:val="3"/>
      </w:pPr>
      <w:bookmarkStart w:id="12" w:name="_Toc85620515"/>
      <w:r>
        <w:rPr>
          <w:rFonts w:hint="eastAsia"/>
        </w:rPr>
        <w:t>（三）形势要求</w:t>
      </w:r>
      <w:bookmarkEnd w:id="12"/>
    </w:p>
    <w:p>
      <w:pPr>
        <w:ind w:firstLine="643"/>
      </w:pPr>
      <w:r>
        <w:rPr>
          <w:rFonts w:hint="eastAsia" w:ascii="楷体" w:hAnsi="楷体" w:eastAsia="楷体"/>
          <w:b/>
          <w:bCs/>
        </w:rPr>
        <w:t>公共服务支撑经济发展进入高质量发展阶段。</w:t>
      </w:r>
      <w:r>
        <w:rPr>
          <w:rFonts w:ascii="仿宋" w:hAnsi="仿宋"/>
          <w:kern w:val="0"/>
          <w:szCs w:val="32"/>
        </w:rPr>
        <w:t>“十</w:t>
      </w:r>
      <w:r>
        <w:rPr>
          <w:rFonts w:hint="eastAsia" w:ascii="仿宋" w:hAnsi="仿宋"/>
          <w:kern w:val="0"/>
          <w:szCs w:val="32"/>
        </w:rPr>
        <w:t>四</w:t>
      </w:r>
      <w:r>
        <w:rPr>
          <w:rFonts w:ascii="仿宋" w:hAnsi="仿宋"/>
          <w:kern w:val="0"/>
          <w:szCs w:val="32"/>
        </w:rPr>
        <w:t>五”</w:t>
      </w:r>
      <w:r>
        <w:rPr>
          <w:kern w:val="0"/>
          <w:szCs w:val="32"/>
        </w:rPr>
        <w:t>时期</w:t>
      </w:r>
      <w:r>
        <w:rPr>
          <w:rFonts w:hint="eastAsia"/>
          <w:kern w:val="0"/>
          <w:szCs w:val="32"/>
        </w:rPr>
        <w:t>揭东</w:t>
      </w:r>
      <w:r>
        <w:rPr>
          <w:kern w:val="0"/>
          <w:szCs w:val="32"/>
        </w:rPr>
        <w:t>地区生产总值</w:t>
      </w:r>
      <w:r>
        <w:rPr>
          <w:rFonts w:hint="eastAsia"/>
          <w:kern w:val="0"/>
          <w:szCs w:val="32"/>
        </w:rPr>
        <w:t>目标为</w:t>
      </w:r>
      <w:r>
        <w:rPr>
          <w:kern w:val="0"/>
          <w:szCs w:val="32"/>
        </w:rPr>
        <w:t>实现年均7</w:t>
      </w:r>
      <w:r>
        <w:rPr>
          <w:rFonts w:hint="eastAsia"/>
          <w:kern w:val="0"/>
          <w:szCs w:val="32"/>
        </w:rPr>
        <w:t>.</w:t>
      </w:r>
      <w:r>
        <w:rPr>
          <w:kern w:val="0"/>
          <w:szCs w:val="32"/>
        </w:rPr>
        <w:t>5%的增长速度，比</w:t>
      </w:r>
      <w:r>
        <w:rPr>
          <w:rFonts w:ascii="仿宋" w:hAnsi="仿宋"/>
          <w:kern w:val="0"/>
          <w:szCs w:val="32"/>
        </w:rPr>
        <w:t>“十</w:t>
      </w:r>
      <w:r>
        <w:rPr>
          <w:rFonts w:hint="eastAsia" w:ascii="仿宋" w:hAnsi="仿宋"/>
          <w:kern w:val="0"/>
          <w:szCs w:val="32"/>
        </w:rPr>
        <w:t>三</w:t>
      </w:r>
      <w:r>
        <w:rPr>
          <w:rFonts w:ascii="仿宋" w:hAnsi="仿宋"/>
          <w:kern w:val="0"/>
          <w:szCs w:val="32"/>
        </w:rPr>
        <w:t>五”</w:t>
      </w:r>
      <w:r>
        <w:rPr>
          <w:rFonts w:hint="eastAsia"/>
          <w:kern w:val="0"/>
          <w:szCs w:val="32"/>
        </w:rPr>
        <w:t>（5</w:t>
      </w:r>
      <w:r>
        <w:rPr>
          <w:kern w:val="0"/>
          <w:szCs w:val="32"/>
        </w:rPr>
        <w:t>.47</w:t>
      </w:r>
      <w:r>
        <w:rPr>
          <w:rFonts w:hint="eastAsia"/>
          <w:kern w:val="0"/>
          <w:szCs w:val="32"/>
        </w:rPr>
        <w:t>%）增</w:t>
      </w:r>
      <w:r>
        <w:rPr>
          <w:kern w:val="0"/>
          <w:szCs w:val="32"/>
        </w:rPr>
        <w:t>速</w:t>
      </w:r>
      <w:r>
        <w:rPr>
          <w:rFonts w:hint="eastAsia"/>
          <w:kern w:val="0"/>
          <w:szCs w:val="32"/>
        </w:rPr>
        <w:t>上升</w:t>
      </w:r>
      <w:r>
        <w:rPr>
          <w:kern w:val="0"/>
          <w:szCs w:val="32"/>
        </w:rPr>
        <w:t>1</w:t>
      </w:r>
      <w:r>
        <w:rPr>
          <w:rFonts w:hint="eastAsia"/>
          <w:kern w:val="0"/>
          <w:szCs w:val="32"/>
        </w:rPr>
        <w:t>.</w:t>
      </w:r>
      <w:r>
        <w:rPr>
          <w:kern w:val="0"/>
          <w:szCs w:val="32"/>
        </w:rPr>
        <w:t>03个百分点</w:t>
      </w:r>
      <w:r>
        <w:rPr>
          <w:rFonts w:hint="eastAsia"/>
          <w:kern w:val="0"/>
          <w:szCs w:val="32"/>
        </w:rPr>
        <w:t>，而新型城镇化、乡村振兴、城乡融合发展等为热点的公共服务支出，通过消费、投资、政府采购等社会需求对经济增长产生将直接的拉动效应。此外，从宏观经济系统中产业间的产品、服务、资金流向来看，公共服务支出中的分类项目将涉及对同产业产品、服务的需求，通过产业间的拉动与推动效应初始需求将演变为更多产业的总产值与最终产值增加，进而实现经济增长。揭东</w:t>
      </w:r>
      <w:r>
        <w:rPr>
          <w:kern w:val="0"/>
          <w:szCs w:val="32"/>
        </w:rPr>
        <w:t>必须有效促进公共资源的优化配置，显著提高基本公共服务供给的效率和效益</w:t>
      </w:r>
      <w:r>
        <w:rPr>
          <w:rFonts w:hint="eastAsia"/>
          <w:kern w:val="0"/>
          <w:szCs w:val="32"/>
        </w:rPr>
        <w:t>，支撑经济进入高质量发展阶段</w:t>
      </w:r>
      <w:r>
        <w:rPr>
          <w:kern w:val="0"/>
          <w:szCs w:val="32"/>
        </w:rPr>
        <w:t>。</w:t>
      </w:r>
    </w:p>
    <w:p>
      <w:pPr>
        <w:ind w:firstLine="643"/>
        <w:rPr>
          <w:kern w:val="0"/>
          <w:szCs w:val="32"/>
        </w:rPr>
      </w:pPr>
      <w:bookmarkStart w:id="13" w:name="_Toc66112119"/>
      <w:bookmarkStart w:id="14" w:name="_Toc9341"/>
      <w:r>
        <w:rPr>
          <w:rFonts w:hint="eastAsia" w:ascii="楷体" w:hAnsi="楷体" w:eastAsia="楷体"/>
          <w:b/>
          <w:bCs/>
        </w:rPr>
        <w:t>公共服务助力乡村振兴与脱贫攻坚衔接转换。</w:t>
      </w:r>
      <w:r>
        <w:rPr>
          <w:rFonts w:hint="eastAsia"/>
          <w:kern w:val="0"/>
          <w:szCs w:val="32"/>
        </w:rPr>
        <w:t>实施乡村振兴战略重要目标之一就是要促进农村的充分发展，而农村的充分发展需要相应的公共服务匹配。揭东社会最大发展的不平衡就是城乡发展的不平衡，发展的最大不充分是农村的不充分，实现城乡的平衡充分发展就是促进城乡协调发展，城乡协调发展也是乡村振兴战略的重要目标。随着全区4个省定贫困村全部脱贫出列，6</w:t>
      </w:r>
      <w:r>
        <w:rPr>
          <w:kern w:val="0"/>
          <w:szCs w:val="32"/>
        </w:rPr>
        <w:t>898</w:t>
      </w:r>
      <w:r>
        <w:rPr>
          <w:rFonts w:hint="eastAsia"/>
          <w:kern w:val="0"/>
          <w:szCs w:val="32"/>
        </w:rPr>
        <w:t>户1</w:t>
      </w:r>
      <w:r>
        <w:rPr>
          <w:kern w:val="0"/>
          <w:szCs w:val="32"/>
        </w:rPr>
        <w:t>6610</w:t>
      </w:r>
      <w:r>
        <w:rPr>
          <w:rFonts w:hint="eastAsia"/>
          <w:kern w:val="0"/>
          <w:szCs w:val="32"/>
        </w:rPr>
        <w:t>人全面实现脱贫退出，持续优化提升全区发展较为落后地区</w:t>
      </w:r>
      <w:r>
        <w:rPr>
          <w:kern w:val="0"/>
          <w:szCs w:val="32"/>
        </w:rPr>
        <w:t>基本公共服务</w:t>
      </w:r>
      <w:r>
        <w:rPr>
          <w:rFonts w:hint="eastAsia"/>
          <w:kern w:val="0"/>
          <w:szCs w:val="32"/>
        </w:rPr>
        <w:t>，</w:t>
      </w:r>
      <w:r>
        <w:rPr>
          <w:kern w:val="0"/>
          <w:szCs w:val="32"/>
        </w:rPr>
        <w:t>承担着</w:t>
      </w:r>
      <w:r>
        <w:rPr>
          <w:rFonts w:hint="eastAsia"/>
        </w:rPr>
        <w:t>助力乡村振兴与脱贫攻坚衔接转换的</w:t>
      </w:r>
      <w:r>
        <w:rPr>
          <w:kern w:val="0"/>
          <w:szCs w:val="32"/>
        </w:rPr>
        <w:t>重要历史使命</w:t>
      </w:r>
      <w:r>
        <w:rPr>
          <w:rFonts w:hint="eastAsia"/>
          <w:kern w:val="0"/>
          <w:szCs w:val="32"/>
        </w:rPr>
        <w:t>，</w:t>
      </w:r>
      <w:r>
        <w:rPr>
          <w:kern w:val="0"/>
          <w:szCs w:val="32"/>
        </w:rPr>
        <w:t>要求基本公共教育、基本社会保险、基本社会服务领域特别是基础教育、职业教育、农村低保、医疗保险和医疗救助等发挥更加积极</w:t>
      </w:r>
      <w:r>
        <w:rPr>
          <w:rFonts w:hint="eastAsia"/>
          <w:kern w:val="0"/>
          <w:szCs w:val="32"/>
        </w:rPr>
        <w:t>、长效</w:t>
      </w:r>
      <w:r>
        <w:rPr>
          <w:kern w:val="0"/>
          <w:szCs w:val="32"/>
        </w:rPr>
        <w:t>的作用。</w:t>
      </w:r>
    </w:p>
    <w:bookmarkEnd w:id="13"/>
    <w:bookmarkEnd w:id="14"/>
    <w:p>
      <w:pPr>
        <w:ind w:firstLine="643"/>
      </w:pPr>
      <w:r>
        <w:rPr>
          <w:rFonts w:hint="eastAsia" w:ascii="楷体" w:hAnsi="楷体" w:eastAsia="楷体"/>
          <w:b/>
          <w:bCs/>
        </w:rPr>
        <w:t>公共服务满足人民日益增长的美好生活需求。</w:t>
      </w:r>
      <w:r>
        <w:rPr>
          <w:rFonts w:hint="eastAsia"/>
          <w:kern w:val="0"/>
          <w:szCs w:val="32"/>
        </w:rPr>
        <w:t>未来五年是满足人民美好生活需求的重要阶段，</w:t>
      </w:r>
      <w:r>
        <w:rPr>
          <w:kern w:val="0"/>
          <w:szCs w:val="32"/>
        </w:rPr>
        <w:t>迫切要求公共服务多元供给。</w:t>
      </w:r>
      <w:r>
        <w:rPr>
          <w:rFonts w:ascii="仿宋" w:hAnsi="仿宋"/>
          <w:kern w:val="0"/>
          <w:szCs w:val="32"/>
        </w:rPr>
        <w:t>“十</w:t>
      </w:r>
      <w:r>
        <w:rPr>
          <w:rFonts w:hint="eastAsia" w:ascii="仿宋" w:hAnsi="仿宋"/>
          <w:kern w:val="0"/>
          <w:szCs w:val="32"/>
        </w:rPr>
        <w:t>四</w:t>
      </w:r>
      <w:r>
        <w:rPr>
          <w:rFonts w:ascii="仿宋" w:hAnsi="仿宋"/>
          <w:kern w:val="0"/>
          <w:szCs w:val="32"/>
        </w:rPr>
        <w:t>五”</w:t>
      </w:r>
      <w:r>
        <w:rPr>
          <w:kern w:val="0"/>
          <w:szCs w:val="32"/>
        </w:rPr>
        <w:t>时期</w:t>
      </w:r>
      <w:r>
        <w:rPr>
          <w:rFonts w:hint="eastAsia"/>
          <w:kern w:val="0"/>
          <w:szCs w:val="32"/>
        </w:rPr>
        <w:t>揭东</w:t>
      </w:r>
      <w:r>
        <w:rPr>
          <w:kern w:val="0"/>
          <w:szCs w:val="32"/>
        </w:rPr>
        <w:t>常住居民人均可支配收入</w:t>
      </w:r>
      <w:r>
        <w:rPr>
          <w:rFonts w:hint="eastAsia"/>
          <w:kern w:val="0"/>
          <w:szCs w:val="32"/>
        </w:rPr>
        <w:t>增长6%左右</w:t>
      </w:r>
      <w:r>
        <w:rPr>
          <w:kern w:val="0"/>
          <w:szCs w:val="32"/>
        </w:rPr>
        <w:t>，常住人口城镇化率将达到58.54%，消费结构的调整升级</w:t>
      </w:r>
      <w:r>
        <w:rPr>
          <w:rFonts w:hint="eastAsia"/>
          <w:kern w:val="0"/>
          <w:szCs w:val="32"/>
        </w:rPr>
        <w:t>将</w:t>
      </w:r>
      <w:r>
        <w:rPr>
          <w:kern w:val="0"/>
          <w:szCs w:val="32"/>
        </w:rPr>
        <w:t>十分明显。</w:t>
      </w:r>
      <w:r>
        <w:rPr>
          <w:rFonts w:hint="eastAsia"/>
          <w:kern w:val="0"/>
          <w:szCs w:val="32"/>
        </w:rPr>
        <w:t>随着新型城镇化和城乡融合发展的加快，</w:t>
      </w:r>
      <w:r>
        <w:rPr>
          <w:kern w:val="0"/>
          <w:szCs w:val="32"/>
        </w:rPr>
        <w:t>需求侧呈现出越来越明显的多层次、多样化发展态势，要有针对性地满足需求，就需要促进公共服务的多元供给，吸引市场和社会力量的参与，与政府兜底性服务形成互补与互动。</w:t>
      </w:r>
    </w:p>
    <w:p>
      <w:pPr>
        <w:pStyle w:val="2"/>
      </w:pPr>
      <w:bookmarkStart w:id="15" w:name="_Toc66112123"/>
      <w:bookmarkStart w:id="16" w:name="_Toc64966202"/>
      <w:bookmarkStart w:id="17" w:name="_Toc85620516"/>
      <w:r>
        <w:rPr>
          <w:rFonts w:hint="eastAsia"/>
        </w:rPr>
        <w:t>二、总体思路</w:t>
      </w:r>
      <w:bookmarkEnd w:id="15"/>
      <w:bookmarkEnd w:id="16"/>
      <w:r>
        <w:rPr>
          <w:rFonts w:hint="eastAsia"/>
        </w:rPr>
        <w:t>与目标</w:t>
      </w:r>
      <w:bookmarkEnd w:id="17"/>
    </w:p>
    <w:p>
      <w:pPr>
        <w:pStyle w:val="3"/>
      </w:pPr>
      <w:bookmarkStart w:id="18" w:name="_Toc64966203"/>
      <w:bookmarkStart w:id="19" w:name="_Toc66112124"/>
      <w:bookmarkStart w:id="20" w:name="_Toc85620517"/>
      <w:r>
        <w:rPr>
          <w:rFonts w:hint="eastAsia"/>
        </w:rPr>
        <w:t>（一）指导思</w:t>
      </w:r>
      <w:bookmarkEnd w:id="18"/>
      <w:bookmarkEnd w:id="19"/>
      <w:r>
        <w:rPr>
          <w:rFonts w:hint="eastAsia"/>
        </w:rPr>
        <w:t>想</w:t>
      </w:r>
      <w:bookmarkEnd w:id="20"/>
    </w:p>
    <w:p>
      <w:pPr>
        <w:widowControl/>
        <w:adjustRightInd/>
        <w:snapToGrid/>
        <w:ind w:firstLine="640"/>
      </w:pPr>
      <w:r>
        <w:rPr>
          <w:rFonts w:hint="eastAsia"/>
        </w:rPr>
        <w:t>高举习近平新时代中国特色社会主义思想伟大旗帜，全面贯彻党的十九大和十九届二中、三中、四中、五中全会精神以及中央经济工作会议、农村工作会议精神，深入贯彻习近平总书记对广东重要讲话和一系列重要指示批示精神，增强“四个意识”、坚定“四个自信”、做到“两个维护”，坚持以人民为中心，坚持稳中求进工作总基调，坚持新发展理念，坚持以供给侧结构性改革为主线，坚持以改革开放为动力推动高质量发展，</w:t>
      </w:r>
      <w:r>
        <w:rPr>
          <w:kern w:val="0"/>
          <w:szCs w:val="32"/>
        </w:rPr>
        <w:t>面向人民日益增长的美好生活需要，进一步优化政府作用，进一步吸引市场和社会力量参与，不断建立健全制度体系、服务项目和规范标准，推进以服务人口配置基本公共服务资源，持续提高公共服务的共建能力、共享水平和质量效益，</w:t>
      </w:r>
      <w:r>
        <w:rPr>
          <w:rFonts w:hint="eastAsia"/>
          <w:kern w:val="0"/>
          <w:szCs w:val="32"/>
        </w:rPr>
        <w:t>深入推进</w:t>
      </w:r>
      <w:r>
        <w:rPr>
          <w:kern w:val="0"/>
          <w:szCs w:val="32"/>
        </w:rPr>
        <w:t>基本公共服务均等化</w:t>
      </w:r>
      <w:r>
        <w:rPr>
          <w:rFonts w:hint="eastAsia"/>
          <w:kern w:val="0"/>
          <w:szCs w:val="32"/>
        </w:rPr>
        <w:t>，全面</w:t>
      </w:r>
      <w:r>
        <w:rPr>
          <w:kern w:val="0"/>
          <w:szCs w:val="32"/>
        </w:rPr>
        <w:t>提升城乡居民获得感、公平感、安全感和幸福感，</w:t>
      </w:r>
      <w:r>
        <w:rPr>
          <w:rFonts w:hint="eastAsia"/>
        </w:rPr>
        <w:t>助力揭东实现“产业现代化、新型城镇化”，建设成为产城乡融合发展示范区提供支撑，为揭阳打造广东沿海经济带新增长极贡献力量。</w:t>
      </w:r>
    </w:p>
    <w:p>
      <w:pPr>
        <w:pStyle w:val="3"/>
      </w:pPr>
      <w:bookmarkStart w:id="21" w:name="_Toc85620518"/>
      <w:bookmarkStart w:id="22" w:name="_Toc66112125"/>
      <w:r>
        <w:rPr>
          <w:rFonts w:hint="eastAsia"/>
        </w:rPr>
        <w:t>（二）基本原则</w:t>
      </w:r>
      <w:bookmarkEnd w:id="21"/>
      <w:bookmarkEnd w:id="22"/>
    </w:p>
    <w:p>
      <w:pPr>
        <w:spacing w:before="240" w:after="240"/>
        <w:ind w:firstLine="636" w:firstLineChars="198"/>
        <w:rPr>
          <w:rFonts w:ascii="仿宋" w:hAnsi="仿宋"/>
          <w:szCs w:val="32"/>
        </w:rPr>
      </w:pPr>
      <w:r>
        <w:rPr>
          <w:rFonts w:hint="eastAsia" w:ascii="仿宋" w:hAnsi="仿宋"/>
          <w:b/>
          <w:szCs w:val="32"/>
        </w:rPr>
        <w:t>——保基本、广覆盖。</w:t>
      </w:r>
      <w:r>
        <w:rPr>
          <w:rFonts w:hint="eastAsia" w:ascii="仿宋" w:hAnsi="仿宋"/>
          <w:szCs w:val="32"/>
        </w:rPr>
        <w:t>立足区情和所处的经济社会发展阶段，</w:t>
      </w:r>
      <w:r>
        <w:rPr>
          <w:rFonts w:ascii="仿宋" w:hAnsi="仿宋"/>
          <w:szCs w:val="32"/>
        </w:rPr>
        <w:t>尽力而为，量力而行</w:t>
      </w:r>
      <w:r>
        <w:rPr>
          <w:rFonts w:hint="eastAsia" w:ascii="仿宋" w:hAnsi="仿宋"/>
          <w:szCs w:val="32"/>
        </w:rPr>
        <w:t>，</w:t>
      </w:r>
      <w:r>
        <w:rPr>
          <w:rFonts w:ascii="仿宋" w:hAnsi="仿宋"/>
          <w:szCs w:val="32"/>
        </w:rPr>
        <w:t>坚守底线，补齐短板，保障基本民生。</w:t>
      </w:r>
      <w:r>
        <w:rPr>
          <w:rFonts w:hint="eastAsia" w:ascii="仿宋" w:hAnsi="仿宋"/>
          <w:szCs w:val="32"/>
        </w:rPr>
        <w:t>合理引导群众预期，科学确定</w:t>
      </w:r>
      <w:r>
        <w:rPr>
          <w:rFonts w:ascii="仿宋" w:hAnsi="仿宋"/>
          <w:szCs w:val="32"/>
        </w:rPr>
        <w:t>基本公共服务</w:t>
      </w:r>
      <w:r>
        <w:rPr>
          <w:rFonts w:hint="eastAsia" w:ascii="仿宋" w:hAnsi="仿宋"/>
          <w:szCs w:val="32"/>
        </w:rPr>
        <w:t>的</w:t>
      </w:r>
      <w:r>
        <w:rPr>
          <w:rFonts w:ascii="仿宋" w:hAnsi="仿宋"/>
          <w:szCs w:val="32"/>
        </w:rPr>
        <w:t>范围，动态调整保障标准</w:t>
      </w:r>
      <w:r>
        <w:rPr>
          <w:rFonts w:hint="eastAsia" w:ascii="仿宋" w:hAnsi="仿宋"/>
          <w:szCs w:val="32"/>
        </w:rPr>
        <w:t>，不断健全服务体系，提升基本公共服务水平，确保人民群众平等享有基本公共服务，逐步缩小城乡服务标准差距，让城乡居民公平共享发展成果、品质生活和现代文明。</w:t>
      </w:r>
    </w:p>
    <w:p>
      <w:pPr>
        <w:widowControl/>
        <w:spacing w:before="240" w:after="240"/>
        <w:ind w:firstLine="643"/>
        <w:jc w:val="left"/>
        <w:rPr>
          <w:rFonts w:ascii="仿宋" w:hAnsi="仿宋"/>
          <w:szCs w:val="32"/>
        </w:rPr>
      </w:pPr>
      <w:r>
        <w:rPr>
          <w:rFonts w:hint="eastAsia" w:ascii="仿宋" w:hAnsi="仿宋"/>
          <w:b/>
          <w:szCs w:val="32"/>
        </w:rPr>
        <w:t>——全统筹、</w:t>
      </w:r>
      <w:r>
        <w:rPr>
          <w:rFonts w:ascii="仿宋" w:hAnsi="仿宋"/>
          <w:b/>
          <w:szCs w:val="32"/>
        </w:rPr>
        <w:t>促均等</w:t>
      </w:r>
      <w:r>
        <w:rPr>
          <w:rFonts w:hint="eastAsia" w:ascii="仿宋" w:hAnsi="仿宋"/>
          <w:b/>
          <w:szCs w:val="32"/>
        </w:rPr>
        <w:t>。</w:t>
      </w:r>
      <w:r>
        <w:rPr>
          <w:rFonts w:hint="eastAsia" w:ascii="仿宋" w:hAnsi="仿宋"/>
          <w:szCs w:val="32"/>
        </w:rPr>
        <w:t>统筹城乡、区域、群体等层面的基本公共服务发展，</w:t>
      </w:r>
      <w:r>
        <w:rPr>
          <w:rFonts w:ascii="仿宋" w:hAnsi="仿宋"/>
          <w:szCs w:val="32"/>
        </w:rPr>
        <w:t>推进公共服务合理布局、均衡配置和优化整合，促进公共服务公平、普惠和便捷可及。加大基本公共服务投入力度，加强对农村、薄弱领域、基层社区和重点人群的</w:t>
      </w:r>
      <w:r>
        <w:rPr>
          <w:rFonts w:hint="eastAsia" w:ascii="仿宋" w:hAnsi="仿宋"/>
          <w:szCs w:val="32"/>
        </w:rPr>
        <w:t>倾斜和保障力度</w:t>
      </w:r>
      <w:r>
        <w:rPr>
          <w:rFonts w:ascii="仿宋" w:hAnsi="仿宋"/>
          <w:szCs w:val="32"/>
        </w:rPr>
        <w:t>，努力缩小城乡之间、</w:t>
      </w:r>
      <w:r>
        <w:rPr>
          <w:rFonts w:hint="eastAsia" w:ascii="仿宋" w:hAnsi="仿宋"/>
          <w:szCs w:val="32"/>
        </w:rPr>
        <w:t>区域</w:t>
      </w:r>
      <w:r>
        <w:rPr>
          <w:rFonts w:ascii="仿宋" w:hAnsi="仿宋"/>
          <w:szCs w:val="32"/>
        </w:rPr>
        <w:t>之间、主要领域之间和不同群体之间的基本公共服务差距</w:t>
      </w:r>
      <w:r>
        <w:rPr>
          <w:rFonts w:hint="eastAsia" w:ascii="仿宋" w:hAnsi="仿宋"/>
          <w:szCs w:val="32"/>
        </w:rPr>
        <w:t>，</w:t>
      </w:r>
      <w:r>
        <w:rPr>
          <w:rFonts w:ascii="仿宋" w:hAnsi="仿宋"/>
          <w:szCs w:val="32"/>
        </w:rPr>
        <w:t>促进城乡区域</w:t>
      </w:r>
      <w:r>
        <w:rPr>
          <w:rFonts w:hint="eastAsia" w:ascii="仿宋" w:hAnsi="仿宋"/>
          <w:szCs w:val="32"/>
        </w:rPr>
        <w:t>领域</w:t>
      </w:r>
      <w:r>
        <w:rPr>
          <w:rFonts w:ascii="仿宋" w:hAnsi="仿宋"/>
          <w:szCs w:val="32"/>
        </w:rPr>
        <w:t>人群协调</w:t>
      </w:r>
      <w:r>
        <w:rPr>
          <w:rFonts w:hint="eastAsia" w:ascii="仿宋" w:hAnsi="仿宋"/>
          <w:szCs w:val="32"/>
        </w:rPr>
        <w:t>、均等</w:t>
      </w:r>
      <w:r>
        <w:rPr>
          <w:rFonts w:ascii="仿宋" w:hAnsi="仿宋"/>
          <w:szCs w:val="32"/>
        </w:rPr>
        <w:t>发展。</w:t>
      </w:r>
    </w:p>
    <w:p>
      <w:pPr>
        <w:spacing w:before="240" w:after="240"/>
        <w:ind w:firstLine="643"/>
        <w:rPr>
          <w:rFonts w:ascii="仿宋" w:hAnsi="仿宋"/>
          <w:szCs w:val="32"/>
        </w:rPr>
      </w:pPr>
      <w:r>
        <w:rPr>
          <w:rFonts w:hint="eastAsia" w:ascii="仿宋" w:hAnsi="仿宋"/>
          <w:b/>
          <w:szCs w:val="32"/>
        </w:rPr>
        <w:t>——强改革、活供给。</w:t>
      </w:r>
      <w:r>
        <w:rPr>
          <w:rFonts w:hint="eastAsia" w:ascii="仿宋" w:hAnsi="仿宋"/>
          <w:szCs w:val="32"/>
        </w:rPr>
        <w:t>改革创新基本公共服务供给模式、监管模式和投入方式，加快建立基本公共服务多元化供给机制，促进优质资源共享，丰富基本公共服务实现形式，</w:t>
      </w:r>
      <w:r>
        <w:rPr>
          <w:rFonts w:ascii="仿宋" w:hAnsi="仿宋"/>
          <w:szCs w:val="32"/>
        </w:rPr>
        <w:t>积极推进科技成果在</w:t>
      </w:r>
      <w:r>
        <w:rPr>
          <w:rFonts w:hint="eastAsia" w:ascii="仿宋" w:hAnsi="仿宋"/>
          <w:szCs w:val="32"/>
        </w:rPr>
        <w:t>基本公共服务领域</w:t>
      </w:r>
      <w:r>
        <w:rPr>
          <w:rFonts w:ascii="仿宋" w:hAnsi="仿宋"/>
          <w:szCs w:val="32"/>
        </w:rPr>
        <w:t>的转化应用，丰富公共服务产品</w:t>
      </w:r>
      <w:r>
        <w:rPr>
          <w:rFonts w:hint="eastAsia" w:ascii="仿宋" w:hAnsi="仿宋"/>
          <w:szCs w:val="32"/>
        </w:rPr>
        <w:t>的供给，</w:t>
      </w:r>
      <w:r>
        <w:rPr>
          <w:rFonts w:ascii="仿宋" w:hAnsi="仿宋"/>
          <w:szCs w:val="32"/>
        </w:rPr>
        <w:t>满足居民多层次、多样化需求</w:t>
      </w:r>
      <w:r>
        <w:rPr>
          <w:rFonts w:hint="eastAsia" w:ascii="仿宋" w:hAnsi="仿宋"/>
          <w:szCs w:val="32"/>
        </w:rPr>
        <w:t>。加快推进移动互联网、物联网、大数据等新技术新模式在基本公共服务体系中的运用，</w:t>
      </w:r>
      <w:r>
        <w:rPr>
          <w:rFonts w:hint="eastAsia" w:ascii="仿宋" w:hAnsi="仿宋"/>
          <w:spacing w:val="-12"/>
          <w:szCs w:val="32"/>
        </w:rPr>
        <w:t>促进公共服务供需信息的互联互通，增强公共服务部门之间的信息共享能力，提高公共服务的智慧化水平，</w:t>
      </w:r>
      <w:r>
        <w:rPr>
          <w:rFonts w:hint="eastAsia" w:ascii="仿宋" w:hAnsi="仿宋"/>
          <w:szCs w:val="32"/>
        </w:rPr>
        <w:t>提升公共服务质量和效率。</w:t>
      </w:r>
    </w:p>
    <w:p>
      <w:pPr>
        <w:pStyle w:val="3"/>
      </w:pPr>
      <w:bookmarkStart w:id="23" w:name="_Toc85620519"/>
      <w:bookmarkStart w:id="24" w:name="_Toc72400173"/>
      <w:r>
        <w:rPr>
          <w:rFonts w:hint="eastAsia"/>
        </w:rPr>
        <w:t>（三）主要目标</w:t>
      </w:r>
      <w:bookmarkEnd w:id="23"/>
      <w:bookmarkEnd w:id="24"/>
    </w:p>
    <w:p>
      <w:pPr>
        <w:ind w:firstLine="640"/>
      </w:pPr>
      <w:r>
        <w:rPr>
          <w:rFonts w:hint="eastAsia"/>
        </w:rPr>
        <w:t>到2025年，</w:t>
      </w:r>
      <w:r>
        <w:t>全面建立与全面建成小康社会相适应的</w:t>
      </w:r>
      <w:r>
        <w:rPr>
          <w:rFonts w:hint="eastAsia"/>
        </w:rPr>
        <w:t>覆盖城乡居民的</w:t>
      </w:r>
      <w:r>
        <w:t>基本公共服务制度体系、规范标准和</w:t>
      </w:r>
      <w:r>
        <w:rPr>
          <w:rFonts w:hint="eastAsia"/>
        </w:rPr>
        <w:t>实施</w:t>
      </w:r>
      <w:r>
        <w:t>机制，供给与需求更加匹配，</w:t>
      </w:r>
      <w:r>
        <w:rPr>
          <w:rFonts w:hint="eastAsia"/>
        </w:rPr>
        <w:t>在</w:t>
      </w:r>
      <w:r>
        <w:t>劳有多得、学有优教、病有良医、住有宜居、老有赡养、幼有善育</w:t>
      </w:r>
      <w:r>
        <w:rPr>
          <w:rFonts w:hint="eastAsia"/>
        </w:rPr>
        <w:t>、</w:t>
      </w:r>
      <w:r>
        <w:t>贫有帮扶</w:t>
      </w:r>
      <w:r>
        <w:rPr>
          <w:rFonts w:hint="eastAsia"/>
        </w:rPr>
        <w:t>、</w:t>
      </w:r>
      <w:r>
        <w:t>娱有佳乐等方面</w:t>
      </w:r>
      <w:r>
        <w:rPr>
          <w:rFonts w:hint="eastAsia"/>
        </w:rPr>
        <w:t>不断</w:t>
      </w:r>
      <w:r>
        <w:t>取得新进展，</w:t>
      </w:r>
      <w:r>
        <w:rPr>
          <w:rFonts w:hint="eastAsia"/>
        </w:rPr>
        <w:t>全区基本公共服务均等化基本实现，基本公共服务水平明显提升。</w:t>
      </w:r>
    </w:p>
    <w:p>
      <w:pPr>
        <w:ind w:firstLine="643"/>
      </w:pPr>
      <w:r>
        <w:rPr>
          <w:rFonts w:hint="eastAsia"/>
          <w:b/>
        </w:rPr>
        <w:t>供给规模有效扩大。</w:t>
      </w:r>
      <w:r>
        <w:rPr>
          <w:rFonts w:hint="eastAsia"/>
        </w:rPr>
        <w:t>财政支出结构不断优化，政府投入保障有力、社会力量积极参与的多元化供给机制基本形成，基本公共服务领域逐步扩大，基本公共服务内容更加丰富、结构更加合理，基本公共服务资源总量和优质资源规模明显增加。</w:t>
      </w:r>
    </w:p>
    <w:p>
      <w:pPr>
        <w:ind w:firstLine="643"/>
      </w:pPr>
      <w:r>
        <w:rPr>
          <w:rFonts w:hint="eastAsia"/>
          <w:b/>
        </w:rPr>
        <w:t>资源配置趋于平衡。</w:t>
      </w:r>
      <w:r>
        <w:rPr>
          <w:rFonts w:hint="eastAsia"/>
        </w:rPr>
        <w:t>基本公共服务资源配置更加合理公平、方便可及，面向基层、农村和弱势群体的投入力度进一步加大，优质资源覆盖面稳步提高。资源共享水平逐步提高，城乡之间基本公共服务水平差距不断缩小。</w:t>
      </w:r>
    </w:p>
    <w:p>
      <w:pPr>
        <w:ind w:firstLine="643"/>
      </w:pPr>
      <w:r>
        <w:rPr>
          <w:rFonts w:hint="eastAsia"/>
          <w:b/>
        </w:rPr>
        <w:t>保障机制逐步健全。</w:t>
      </w:r>
      <w:r>
        <w:rPr>
          <w:rFonts w:hint="eastAsia"/>
        </w:rPr>
        <w:t>基本公共服务制度全覆盖，基本公共服务需求表达机制、标准制定和动态调整机制有效建立，绩效评估、运行监测和督查机制更加健全，服务规范全面确立，服务成本个人负担比率合理下降。</w:t>
      </w:r>
    </w:p>
    <w:p>
      <w:pPr>
        <w:ind w:firstLine="643"/>
      </w:pPr>
      <w:r>
        <w:rPr>
          <w:rFonts w:hint="eastAsia"/>
          <w:b/>
        </w:rPr>
        <w:t>项目体系更加完备。</w:t>
      </w:r>
      <w:r>
        <w:rPr>
          <w:rFonts w:hint="eastAsia"/>
        </w:rPr>
        <w:t>从人民群众对基本公共服务的基本需求出发，基本公共服务清单全面建立，基本公共服务“揭东标准”体系进一步完善，</w:t>
      </w:r>
      <w:r>
        <w:t>社会保障“兜底网”更密更牢，</w:t>
      </w:r>
      <w:r>
        <w:rPr>
          <w:rFonts w:hint="eastAsia"/>
        </w:rPr>
        <w:t>城乡居民最迫切、最直接、最现实的问题得到有效解决。</w:t>
      </w:r>
    </w:p>
    <w:p>
      <w:pPr>
        <w:adjustRightInd/>
        <w:snapToGrid/>
        <w:spacing w:before="240" w:after="240" w:line="400" w:lineRule="exact"/>
        <w:ind w:firstLine="551" w:firstLineChars="196"/>
        <w:jc w:val="center"/>
        <w:rPr>
          <w:rFonts w:eastAsia="黑体"/>
          <w:b/>
          <w:sz w:val="28"/>
          <w:szCs w:val="28"/>
        </w:rPr>
      </w:pPr>
      <w:r>
        <w:rPr>
          <w:rFonts w:eastAsia="黑体"/>
          <w:b/>
          <w:sz w:val="28"/>
          <w:szCs w:val="28"/>
        </w:rPr>
        <w:t>表1  “十四五”时期揭阳市揭东区公共服务领域主要指标</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205"/>
        <w:gridCol w:w="1431"/>
        <w:gridCol w:w="11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856" w:type="dxa"/>
          </w:tcPr>
          <w:p>
            <w:pPr>
              <w:adjustRightInd/>
              <w:snapToGrid/>
              <w:spacing w:line="360" w:lineRule="exact"/>
              <w:ind w:firstLine="0" w:firstLineChars="0"/>
              <w:jc w:val="center"/>
              <w:rPr>
                <w:rFonts w:eastAsia="黑体"/>
                <w:b/>
                <w:sz w:val="24"/>
                <w:szCs w:val="24"/>
              </w:rPr>
            </w:pPr>
            <w:r>
              <w:rPr>
                <w:rFonts w:hint="eastAsia" w:eastAsia="黑体"/>
                <w:b/>
                <w:sz w:val="24"/>
                <w:szCs w:val="24"/>
              </w:rPr>
              <w:t>计 数</w:t>
            </w:r>
          </w:p>
        </w:tc>
        <w:tc>
          <w:tcPr>
            <w:tcW w:w="5205" w:type="dxa"/>
            <w:vAlign w:val="center"/>
          </w:tcPr>
          <w:p>
            <w:pPr>
              <w:adjustRightInd/>
              <w:snapToGrid/>
              <w:spacing w:line="360" w:lineRule="exact"/>
              <w:ind w:firstLine="482"/>
              <w:jc w:val="center"/>
              <w:rPr>
                <w:rFonts w:eastAsia="黑体"/>
                <w:b/>
                <w:sz w:val="24"/>
                <w:szCs w:val="24"/>
              </w:rPr>
            </w:pPr>
            <w:r>
              <w:rPr>
                <w:rFonts w:eastAsia="黑体"/>
                <w:b/>
                <w:sz w:val="24"/>
                <w:szCs w:val="24"/>
              </w:rPr>
              <w:t>指    标</w:t>
            </w:r>
          </w:p>
        </w:tc>
        <w:tc>
          <w:tcPr>
            <w:tcW w:w="1431" w:type="dxa"/>
            <w:vAlign w:val="center"/>
          </w:tcPr>
          <w:p>
            <w:pPr>
              <w:adjustRightInd/>
              <w:snapToGrid/>
              <w:spacing w:line="360" w:lineRule="exact"/>
              <w:ind w:firstLine="0" w:firstLineChars="0"/>
              <w:jc w:val="center"/>
              <w:rPr>
                <w:rFonts w:eastAsia="黑体"/>
                <w:b/>
                <w:spacing w:val="-12"/>
                <w:sz w:val="24"/>
                <w:szCs w:val="24"/>
              </w:rPr>
            </w:pPr>
            <w:r>
              <w:rPr>
                <w:rFonts w:eastAsia="黑体"/>
                <w:b/>
                <w:spacing w:val="-12"/>
                <w:sz w:val="24"/>
                <w:szCs w:val="24"/>
              </w:rPr>
              <w:t>2020年</w:t>
            </w:r>
          </w:p>
        </w:tc>
        <w:tc>
          <w:tcPr>
            <w:tcW w:w="1155" w:type="dxa"/>
            <w:vAlign w:val="center"/>
          </w:tcPr>
          <w:p>
            <w:pPr>
              <w:adjustRightInd/>
              <w:snapToGrid/>
              <w:spacing w:line="360" w:lineRule="exact"/>
              <w:ind w:firstLine="0" w:firstLineChars="0"/>
              <w:jc w:val="center"/>
              <w:rPr>
                <w:rFonts w:eastAsia="黑体"/>
                <w:b/>
                <w:spacing w:val="-12"/>
                <w:sz w:val="24"/>
                <w:szCs w:val="24"/>
              </w:rPr>
            </w:pPr>
            <w:r>
              <w:rPr>
                <w:rFonts w:eastAsia="黑体"/>
                <w:b/>
                <w:spacing w:val="-12"/>
                <w:sz w:val="24"/>
                <w:szCs w:val="24"/>
              </w:rPr>
              <w:t>2025年</w:t>
            </w:r>
          </w:p>
        </w:tc>
        <w:tc>
          <w:tcPr>
            <w:tcW w:w="992" w:type="dxa"/>
            <w:vAlign w:val="center"/>
          </w:tcPr>
          <w:p>
            <w:pPr>
              <w:adjustRightInd/>
              <w:snapToGrid/>
              <w:spacing w:line="360" w:lineRule="exact"/>
              <w:ind w:firstLine="0" w:firstLineChars="0"/>
              <w:jc w:val="center"/>
              <w:rPr>
                <w:rFonts w:eastAsia="黑体"/>
                <w:b/>
                <w:sz w:val="24"/>
                <w:szCs w:val="24"/>
              </w:rPr>
            </w:pPr>
            <w:r>
              <w:rPr>
                <w:rFonts w:eastAsia="黑体"/>
                <w:b/>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一</w:t>
            </w:r>
          </w:p>
        </w:tc>
        <w:tc>
          <w:tcPr>
            <w:tcW w:w="8783" w:type="dxa"/>
            <w:gridSpan w:val="4"/>
          </w:tcPr>
          <w:p>
            <w:pPr>
              <w:adjustRightInd/>
              <w:snapToGrid/>
              <w:spacing w:line="360" w:lineRule="exact"/>
              <w:ind w:firstLine="0" w:firstLineChars="0"/>
              <w:rPr>
                <w:rFonts w:eastAsia="楷体"/>
                <w:b/>
                <w:sz w:val="24"/>
                <w:szCs w:val="24"/>
              </w:rPr>
            </w:pPr>
            <w:r>
              <w:rPr>
                <w:rFonts w:eastAsia="楷体"/>
                <w:b/>
                <w:sz w:val="24"/>
                <w:szCs w:val="24"/>
              </w:rPr>
              <w:t>人</w:t>
            </w:r>
            <w:r>
              <w:rPr>
                <w:rFonts w:hint="eastAsia" w:eastAsia="楷体"/>
                <w:b/>
                <w:sz w:val="24"/>
                <w:szCs w:val="24"/>
              </w:rPr>
              <w:t xml:space="preserve"> </w:t>
            </w:r>
            <w:r>
              <w:rPr>
                <w:rFonts w:eastAsia="楷体"/>
                <w:b/>
                <w:sz w:val="24"/>
                <w:szCs w:val="24"/>
              </w:rPr>
              <w:t xml:space="preserve"> 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p>
        </w:tc>
        <w:tc>
          <w:tcPr>
            <w:tcW w:w="5205" w:type="dxa"/>
            <w:vAlign w:val="center"/>
          </w:tcPr>
          <w:p>
            <w:pPr>
              <w:adjustRightInd/>
              <w:snapToGrid/>
              <w:spacing w:line="360" w:lineRule="exact"/>
              <w:ind w:firstLine="0" w:firstLineChars="0"/>
              <w:jc w:val="left"/>
              <w:rPr>
                <w:sz w:val="24"/>
                <w:szCs w:val="24"/>
              </w:rPr>
            </w:pPr>
            <w:r>
              <w:rPr>
                <w:sz w:val="24"/>
                <w:szCs w:val="24"/>
              </w:rPr>
              <w:t>常住人口数（万人）</w:t>
            </w:r>
          </w:p>
        </w:tc>
        <w:tc>
          <w:tcPr>
            <w:tcW w:w="1431" w:type="dxa"/>
            <w:vAlign w:val="center"/>
          </w:tcPr>
          <w:p>
            <w:pPr>
              <w:adjustRightInd/>
              <w:snapToGrid/>
              <w:spacing w:line="360" w:lineRule="exact"/>
              <w:ind w:firstLine="0" w:firstLineChars="0"/>
              <w:jc w:val="center"/>
              <w:rPr>
                <w:sz w:val="24"/>
                <w:szCs w:val="24"/>
              </w:rPr>
            </w:pPr>
            <w:r>
              <w:rPr>
                <w:sz w:val="24"/>
                <w:szCs w:val="24"/>
              </w:rPr>
              <w:t>93.24</w:t>
            </w:r>
          </w:p>
        </w:tc>
        <w:tc>
          <w:tcPr>
            <w:tcW w:w="1155" w:type="dxa"/>
            <w:vAlign w:val="center"/>
          </w:tcPr>
          <w:p>
            <w:pPr>
              <w:adjustRightInd/>
              <w:snapToGrid/>
              <w:spacing w:line="360" w:lineRule="exact"/>
              <w:ind w:firstLine="0" w:firstLineChars="0"/>
              <w:jc w:val="center"/>
              <w:rPr>
                <w:sz w:val="24"/>
                <w:szCs w:val="24"/>
              </w:rPr>
            </w:pPr>
            <w:r>
              <w:rPr>
                <w:sz w:val="24"/>
                <w:szCs w:val="24"/>
              </w:rPr>
              <w:t>114.87</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p>
        </w:tc>
        <w:tc>
          <w:tcPr>
            <w:tcW w:w="5205" w:type="dxa"/>
            <w:vAlign w:val="center"/>
          </w:tcPr>
          <w:p>
            <w:pPr>
              <w:adjustRightInd/>
              <w:snapToGrid/>
              <w:spacing w:line="360" w:lineRule="exact"/>
              <w:ind w:firstLine="0" w:firstLineChars="0"/>
              <w:jc w:val="left"/>
              <w:rPr>
                <w:sz w:val="24"/>
                <w:szCs w:val="24"/>
              </w:rPr>
            </w:pPr>
            <w:r>
              <w:rPr>
                <w:sz w:val="24"/>
                <w:szCs w:val="24"/>
              </w:rPr>
              <w:t>常住人口城镇化率（%）</w:t>
            </w:r>
          </w:p>
        </w:tc>
        <w:tc>
          <w:tcPr>
            <w:tcW w:w="1431" w:type="dxa"/>
            <w:vAlign w:val="center"/>
          </w:tcPr>
          <w:p>
            <w:pPr>
              <w:adjustRightInd/>
              <w:snapToGrid/>
              <w:spacing w:line="360" w:lineRule="exact"/>
              <w:ind w:firstLine="0" w:firstLineChars="0"/>
              <w:jc w:val="center"/>
              <w:rPr>
                <w:sz w:val="24"/>
                <w:szCs w:val="24"/>
              </w:rPr>
            </w:pPr>
            <w:r>
              <w:rPr>
                <w:rFonts w:hint="eastAsia"/>
                <w:kern w:val="0"/>
                <w:sz w:val="24"/>
                <w:szCs w:val="24"/>
              </w:rPr>
              <w:t>54.</w:t>
            </w:r>
            <w:r>
              <w:rPr>
                <w:kern w:val="0"/>
                <w:sz w:val="24"/>
                <w:szCs w:val="24"/>
              </w:rPr>
              <w:t>42</w:t>
            </w:r>
          </w:p>
        </w:tc>
        <w:tc>
          <w:tcPr>
            <w:tcW w:w="1155" w:type="dxa"/>
            <w:vAlign w:val="center"/>
          </w:tcPr>
          <w:p>
            <w:pPr>
              <w:adjustRightInd/>
              <w:snapToGrid/>
              <w:spacing w:line="360" w:lineRule="exact"/>
              <w:ind w:firstLine="0" w:firstLineChars="0"/>
              <w:jc w:val="center"/>
              <w:rPr>
                <w:sz w:val="24"/>
                <w:szCs w:val="24"/>
              </w:rPr>
            </w:pPr>
            <w:r>
              <w:rPr>
                <w:rFonts w:hint="eastAsia"/>
                <w:kern w:val="0"/>
                <w:sz w:val="24"/>
                <w:szCs w:val="24"/>
              </w:rPr>
              <w:t>58.54</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3</w:t>
            </w:r>
          </w:p>
        </w:tc>
        <w:tc>
          <w:tcPr>
            <w:tcW w:w="5205" w:type="dxa"/>
            <w:vAlign w:val="center"/>
          </w:tcPr>
          <w:p>
            <w:pPr>
              <w:adjustRightInd/>
              <w:snapToGrid/>
              <w:spacing w:line="360" w:lineRule="exact"/>
              <w:ind w:firstLine="0" w:firstLineChars="0"/>
              <w:jc w:val="left"/>
              <w:rPr>
                <w:sz w:val="24"/>
                <w:szCs w:val="24"/>
              </w:rPr>
            </w:pPr>
            <w:r>
              <w:rPr>
                <w:sz w:val="24"/>
                <w:szCs w:val="24"/>
              </w:rPr>
              <w:t>人均期望寿命（岁）</w:t>
            </w:r>
          </w:p>
        </w:tc>
        <w:tc>
          <w:tcPr>
            <w:tcW w:w="1431" w:type="dxa"/>
            <w:vAlign w:val="center"/>
          </w:tcPr>
          <w:p>
            <w:pPr>
              <w:adjustRightInd/>
              <w:snapToGrid/>
              <w:spacing w:line="360" w:lineRule="exact"/>
              <w:ind w:firstLine="0" w:firstLineChars="0"/>
              <w:jc w:val="center"/>
              <w:rPr>
                <w:sz w:val="24"/>
                <w:szCs w:val="24"/>
              </w:rPr>
            </w:pPr>
            <w:r>
              <w:rPr>
                <w:sz w:val="24"/>
                <w:szCs w:val="24"/>
              </w:rPr>
              <w:t>78.4</w:t>
            </w:r>
          </w:p>
        </w:tc>
        <w:tc>
          <w:tcPr>
            <w:tcW w:w="1155" w:type="dxa"/>
            <w:vAlign w:val="center"/>
          </w:tcPr>
          <w:p>
            <w:pPr>
              <w:adjustRightInd/>
              <w:snapToGrid/>
              <w:spacing w:line="360" w:lineRule="exact"/>
              <w:ind w:firstLine="0" w:firstLineChars="0"/>
              <w:jc w:val="center"/>
              <w:rPr>
                <w:sz w:val="24"/>
                <w:szCs w:val="24"/>
              </w:rPr>
            </w:pPr>
            <w:r>
              <w:rPr>
                <w:sz w:val="24"/>
                <w:szCs w:val="24"/>
              </w:rPr>
              <w:t>79</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4</w:t>
            </w:r>
          </w:p>
        </w:tc>
        <w:tc>
          <w:tcPr>
            <w:tcW w:w="5205" w:type="dxa"/>
            <w:vAlign w:val="center"/>
          </w:tcPr>
          <w:p>
            <w:pPr>
              <w:adjustRightInd/>
              <w:snapToGrid/>
              <w:spacing w:line="360" w:lineRule="exact"/>
              <w:ind w:firstLine="0" w:firstLineChars="0"/>
              <w:jc w:val="left"/>
              <w:rPr>
                <w:sz w:val="24"/>
                <w:szCs w:val="24"/>
              </w:rPr>
            </w:pPr>
            <w:r>
              <w:rPr>
                <w:sz w:val="24"/>
                <w:szCs w:val="24"/>
              </w:rPr>
              <w:t>65岁以上人口比例（%）</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2.95</w:t>
            </w:r>
          </w:p>
        </w:tc>
        <w:tc>
          <w:tcPr>
            <w:tcW w:w="1155" w:type="dxa"/>
            <w:vAlign w:val="center"/>
          </w:tcPr>
          <w:p>
            <w:pPr>
              <w:adjustRightInd/>
              <w:snapToGrid/>
              <w:spacing w:line="360" w:lineRule="exact"/>
              <w:ind w:firstLine="0" w:firstLineChars="0"/>
              <w:jc w:val="center"/>
              <w:rPr>
                <w:sz w:val="24"/>
                <w:szCs w:val="24"/>
              </w:rPr>
            </w:pPr>
            <w:r>
              <w:rPr>
                <w:sz w:val="24"/>
                <w:szCs w:val="24"/>
              </w:rPr>
              <w:t>13.25</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5</w:t>
            </w:r>
          </w:p>
        </w:tc>
        <w:tc>
          <w:tcPr>
            <w:tcW w:w="5205" w:type="dxa"/>
            <w:vAlign w:val="center"/>
          </w:tcPr>
          <w:p>
            <w:pPr>
              <w:adjustRightInd/>
              <w:snapToGrid/>
              <w:spacing w:line="360" w:lineRule="exact"/>
              <w:ind w:firstLine="0" w:firstLineChars="0"/>
              <w:jc w:val="left"/>
              <w:rPr>
                <w:sz w:val="24"/>
                <w:szCs w:val="24"/>
              </w:rPr>
            </w:pPr>
            <w:r>
              <w:rPr>
                <w:rFonts w:hint="eastAsia"/>
                <w:sz w:val="24"/>
                <w:szCs w:val="24"/>
              </w:rPr>
              <w:t>孕前优生健康检查目标人群覆盖率（%）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8</w:t>
            </w:r>
            <w:r>
              <w:rPr>
                <w:sz w:val="24"/>
                <w:szCs w:val="24"/>
              </w:rPr>
              <w:t>3.6</w:t>
            </w:r>
          </w:p>
        </w:tc>
        <w:tc>
          <w:tcPr>
            <w:tcW w:w="1155" w:type="dxa"/>
            <w:vAlign w:val="center"/>
          </w:tcPr>
          <w:p>
            <w:pPr>
              <w:adjustRightInd/>
              <w:snapToGrid/>
              <w:spacing w:line="360" w:lineRule="exact"/>
              <w:ind w:firstLine="0" w:firstLineChars="0"/>
              <w:jc w:val="center"/>
              <w:rPr>
                <w:sz w:val="24"/>
                <w:szCs w:val="24"/>
              </w:rPr>
            </w:pPr>
            <w:r>
              <w:rPr>
                <w:sz w:val="24"/>
                <w:szCs w:val="24"/>
              </w:rPr>
              <w:t>89</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二</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 xml:space="preserve">教 </w:t>
            </w:r>
            <w:r>
              <w:rPr>
                <w:rFonts w:eastAsia="楷体"/>
                <w:b/>
                <w:sz w:val="24"/>
                <w:szCs w:val="24"/>
              </w:rPr>
              <w:t xml:space="preserve"> </w:t>
            </w:r>
            <w:r>
              <w:rPr>
                <w:rFonts w:hint="eastAsia" w:eastAsia="楷体"/>
                <w:b/>
                <w:sz w:val="24"/>
                <w:szCs w:val="24"/>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6</w:t>
            </w:r>
          </w:p>
        </w:tc>
        <w:tc>
          <w:tcPr>
            <w:tcW w:w="5205" w:type="dxa"/>
            <w:vAlign w:val="center"/>
          </w:tcPr>
          <w:p>
            <w:pPr>
              <w:adjustRightInd/>
              <w:snapToGrid/>
              <w:spacing w:line="360" w:lineRule="exact"/>
              <w:ind w:firstLine="0" w:firstLineChars="0"/>
              <w:jc w:val="left"/>
              <w:rPr>
                <w:sz w:val="24"/>
                <w:szCs w:val="24"/>
              </w:rPr>
            </w:pPr>
            <w:r>
              <w:rPr>
                <w:sz w:val="24"/>
                <w:szCs w:val="24"/>
              </w:rPr>
              <w:t>九年义务教育巩固率（%）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rFonts w:hint="eastAsia"/>
                <w:sz w:val="24"/>
                <w:szCs w:val="24"/>
              </w:rPr>
              <w:t>&gt;</w:t>
            </w:r>
            <w:r>
              <w:rPr>
                <w:sz w:val="24"/>
                <w:szCs w:val="24"/>
              </w:rPr>
              <w:t>97</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7</w:t>
            </w:r>
          </w:p>
        </w:tc>
        <w:tc>
          <w:tcPr>
            <w:tcW w:w="5205" w:type="dxa"/>
            <w:vAlign w:val="center"/>
          </w:tcPr>
          <w:p>
            <w:pPr>
              <w:adjustRightInd/>
              <w:snapToGrid/>
              <w:spacing w:line="360" w:lineRule="exact"/>
              <w:ind w:firstLine="0" w:firstLineChars="0"/>
              <w:jc w:val="left"/>
              <w:rPr>
                <w:sz w:val="24"/>
                <w:szCs w:val="24"/>
              </w:rPr>
            </w:pPr>
            <w:r>
              <w:rPr>
                <w:sz w:val="24"/>
                <w:szCs w:val="24"/>
              </w:rPr>
              <w:t>学前教育三年</w:t>
            </w:r>
            <w:r>
              <w:rPr>
                <w:rFonts w:hint="eastAsia"/>
                <w:sz w:val="24"/>
                <w:szCs w:val="24"/>
              </w:rPr>
              <w:t>毛</w:t>
            </w:r>
            <w:r>
              <w:rPr>
                <w:sz w:val="24"/>
                <w:szCs w:val="24"/>
              </w:rPr>
              <w:t>入园率（%）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8</w:t>
            </w:r>
          </w:p>
        </w:tc>
        <w:tc>
          <w:tcPr>
            <w:tcW w:w="5205" w:type="dxa"/>
            <w:vAlign w:val="center"/>
          </w:tcPr>
          <w:p>
            <w:pPr>
              <w:adjustRightInd/>
              <w:snapToGrid/>
              <w:spacing w:line="360" w:lineRule="exact"/>
              <w:ind w:firstLine="0" w:firstLineChars="0"/>
              <w:jc w:val="left"/>
              <w:rPr>
                <w:sz w:val="24"/>
                <w:szCs w:val="24"/>
              </w:rPr>
            </w:pPr>
            <w:r>
              <w:rPr>
                <w:sz w:val="24"/>
                <w:szCs w:val="24"/>
              </w:rPr>
              <w:t>高中阶段毛入学率（%）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98</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9</w:t>
            </w:r>
          </w:p>
        </w:tc>
        <w:tc>
          <w:tcPr>
            <w:tcW w:w="5205" w:type="dxa"/>
            <w:vAlign w:val="center"/>
          </w:tcPr>
          <w:p>
            <w:pPr>
              <w:adjustRightInd/>
              <w:snapToGrid/>
              <w:spacing w:line="360" w:lineRule="exact"/>
              <w:ind w:firstLine="0" w:firstLineChars="0"/>
              <w:jc w:val="left"/>
              <w:rPr>
                <w:sz w:val="24"/>
                <w:szCs w:val="24"/>
              </w:rPr>
            </w:pPr>
            <w:r>
              <w:rPr>
                <w:sz w:val="24"/>
                <w:szCs w:val="24"/>
              </w:rPr>
              <w:t>义务教育学历合格教师数占全部教师比例（%）</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三</w:t>
            </w:r>
          </w:p>
        </w:tc>
        <w:tc>
          <w:tcPr>
            <w:tcW w:w="8783" w:type="dxa"/>
            <w:gridSpan w:val="4"/>
            <w:vAlign w:val="center"/>
          </w:tcPr>
          <w:p>
            <w:pPr>
              <w:adjustRightInd/>
              <w:snapToGrid/>
              <w:spacing w:line="360" w:lineRule="exact"/>
              <w:ind w:firstLine="0" w:firstLineChars="0"/>
              <w:jc w:val="left"/>
              <w:rPr>
                <w:rFonts w:eastAsia="楷体"/>
                <w:b/>
                <w:sz w:val="24"/>
                <w:szCs w:val="24"/>
              </w:rPr>
            </w:pPr>
            <w:r>
              <w:rPr>
                <w:rFonts w:eastAsia="楷体"/>
                <w:b/>
                <w:sz w:val="24"/>
                <w:szCs w:val="24"/>
              </w:rPr>
              <w:t>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10</w:t>
            </w:r>
          </w:p>
        </w:tc>
        <w:tc>
          <w:tcPr>
            <w:tcW w:w="5205" w:type="dxa"/>
            <w:vAlign w:val="center"/>
          </w:tcPr>
          <w:p>
            <w:pPr>
              <w:adjustRightInd/>
              <w:snapToGrid/>
              <w:spacing w:line="360" w:lineRule="exact"/>
              <w:ind w:firstLine="0" w:firstLineChars="0"/>
              <w:jc w:val="left"/>
              <w:rPr>
                <w:sz w:val="24"/>
                <w:szCs w:val="24"/>
              </w:rPr>
            </w:pPr>
            <w:r>
              <w:rPr>
                <w:sz w:val="24"/>
                <w:szCs w:val="24"/>
              </w:rPr>
              <w:t>城镇登记失业率（%）</w:t>
            </w:r>
          </w:p>
        </w:tc>
        <w:tc>
          <w:tcPr>
            <w:tcW w:w="1431" w:type="dxa"/>
            <w:vAlign w:val="center"/>
          </w:tcPr>
          <w:p>
            <w:pPr>
              <w:adjustRightInd/>
              <w:snapToGrid/>
              <w:spacing w:line="360" w:lineRule="exact"/>
              <w:ind w:firstLine="0" w:firstLineChars="0"/>
              <w:jc w:val="center"/>
              <w:rPr>
                <w:sz w:val="24"/>
                <w:szCs w:val="24"/>
              </w:rPr>
            </w:pPr>
            <w:r>
              <w:rPr>
                <w:sz w:val="24"/>
                <w:szCs w:val="24"/>
              </w:rPr>
              <w:t>2.64</w:t>
            </w:r>
          </w:p>
        </w:tc>
        <w:tc>
          <w:tcPr>
            <w:tcW w:w="1155" w:type="dxa"/>
            <w:vAlign w:val="center"/>
          </w:tcPr>
          <w:p>
            <w:pPr>
              <w:adjustRightInd/>
              <w:snapToGrid/>
              <w:spacing w:line="360" w:lineRule="exact"/>
              <w:ind w:firstLine="0" w:firstLineChars="0"/>
              <w:jc w:val="center"/>
              <w:rPr>
                <w:rFonts w:hint="eastAsia" w:eastAsia="仿宋"/>
                <w:sz w:val="24"/>
                <w:szCs w:val="24"/>
                <w:lang w:eastAsia="zh-CN"/>
              </w:rPr>
            </w:pPr>
            <w:r>
              <w:rPr>
                <w:rFonts w:hint="eastAsia" w:ascii="仿宋" w:hAnsi="仿宋"/>
                <w:sz w:val="24"/>
                <w:szCs w:val="24"/>
              </w:rPr>
              <w:t>＜</w:t>
            </w:r>
            <w:r>
              <w:rPr>
                <w:sz w:val="24"/>
                <w:szCs w:val="24"/>
              </w:rPr>
              <w:t>3.</w:t>
            </w:r>
            <w:r>
              <w:rPr>
                <w:rFonts w:hint="eastAsia"/>
                <w:sz w:val="24"/>
                <w:szCs w:val="24"/>
                <w:lang w:val="en-US" w:eastAsia="zh-CN"/>
              </w:rPr>
              <w:t>5</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11</w:t>
            </w:r>
          </w:p>
        </w:tc>
        <w:tc>
          <w:tcPr>
            <w:tcW w:w="5205" w:type="dxa"/>
            <w:vAlign w:val="center"/>
          </w:tcPr>
          <w:p>
            <w:pPr>
              <w:adjustRightInd/>
              <w:snapToGrid/>
              <w:spacing w:line="360" w:lineRule="exact"/>
              <w:ind w:firstLine="0" w:firstLineChars="0"/>
              <w:jc w:val="left"/>
              <w:rPr>
                <w:sz w:val="24"/>
                <w:szCs w:val="24"/>
              </w:rPr>
            </w:pPr>
            <w:r>
              <w:rPr>
                <w:sz w:val="24"/>
                <w:szCs w:val="24"/>
              </w:rPr>
              <w:t>新增城镇就业人数（人）</w:t>
            </w:r>
          </w:p>
        </w:tc>
        <w:tc>
          <w:tcPr>
            <w:tcW w:w="1431" w:type="dxa"/>
            <w:vAlign w:val="center"/>
          </w:tcPr>
          <w:p>
            <w:pPr>
              <w:adjustRightInd/>
              <w:snapToGrid/>
              <w:spacing w:line="360" w:lineRule="exact"/>
              <w:ind w:firstLine="0" w:firstLineChars="0"/>
              <w:jc w:val="center"/>
              <w:rPr>
                <w:sz w:val="24"/>
                <w:szCs w:val="24"/>
              </w:rPr>
            </w:pPr>
            <w:r>
              <w:rPr>
                <w:spacing w:val="-12"/>
                <w:kern w:val="0"/>
                <w:sz w:val="21"/>
                <w:szCs w:val="21"/>
              </w:rPr>
              <w:t>5218</w:t>
            </w:r>
          </w:p>
        </w:tc>
        <w:tc>
          <w:tcPr>
            <w:tcW w:w="1155" w:type="dxa"/>
            <w:vAlign w:val="center"/>
          </w:tcPr>
          <w:p>
            <w:pPr>
              <w:adjustRightInd/>
              <w:snapToGrid/>
              <w:spacing w:line="360" w:lineRule="exact"/>
              <w:ind w:firstLine="0" w:firstLineChars="0"/>
              <w:jc w:val="center"/>
              <w:rPr>
                <w:sz w:val="24"/>
                <w:szCs w:val="24"/>
              </w:rPr>
            </w:pPr>
            <w:r>
              <w:rPr>
                <w:kern w:val="0"/>
                <w:sz w:val="21"/>
                <w:szCs w:val="21"/>
              </w:rPr>
              <w:t>[26000]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四</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社 会 保 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2</w:t>
            </w:r>
          </w:p>
        </w:tc>
        <w:tc>
          <w:tcPr>
            <w:tcW w:w="5205" w:type="dxa"/>
            <w:vAlign w:val="center"/>
          </w:tcPr>
          <w:p>
            <w:pPr>
              <w:adjustRightInd/>
              <w:snapToGrid/>
              <w:spacing w:line="360" w:lineRule="exact"/>
              <w:ind w:firstLine="0" w:firstLineChars="0"/>
              <w:jc w:val="left"/>
              <w:rPr>
                <w:sz w:val="24"/>
                <w:szCs w:val="24"/>
              </w:rPr>
            </w:pPr>
            <w:r>
              <w:rPr>
                <w:sz w:val="24"/>
                <w:szCs w:val="24"/>
              </w:rPr>
              <w:t>社会保障卡持卡人口覆盖率（%）</w:t>
            </w:r>
          </w:p>
        </w:tc>
        <w:tc>
          <w:tcPr>
            <w:tcW w:w="1431" w:type="dxa"/>
            <w:vAlign w:val="center"/>
          </w:tcPr>
          <w:p>
            <w:pPr>
              <w:adjustRightInd/>
              <w:snapToGrid/>
              <w:spacing w:line="360" w:lineRule="exact"/>
              <w:ind w:firstLine="0" w:firstLineChars="0"/>
              <w:jc w:val="center"/>
              <w:rPr>
                <w:sz w:val="24"/>
                <w:szCs w:val="24"/>
              </w:rPr>
            </w:pPr>
            <w:r>
              <w:rPr>
                <w:sz w:val="24"/>
                <w:szCs w:val="24"/>
              </w:rPr>
              <w:t>96</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3</w:t>
            </w:r>
          </w:p>
        </w:tc>
        <w:tc>
          <w:tcPr>
            <w:tcW w:w="5205" w:type="dxa"/>
            <w:vAlign w:val="center"/>
          </w:tcPr>
          <w:p>
            <w:pPr>
              <w:adjustRightInd/>
              <w:snapToGrid/>
              <w:spacing w:line="360" w:lineRule="exact"/>
              <w:ind w:firstLine="0" w:firstLineChars="0"/>
              <w:jc w:val="left"/>
              <w:rPr>
                <w:sz w:val="24"/>
                <w:szCs w:val="24"/>
              </w:rPr>
            </w:pPr>
            <w:r>
              <w:rPr>
                <w:sz w:val="24"/>
                <w:szCs w:val="24"/>
              </w:rPr>
              <w:t>基本养老保险参保率（%）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&gt;95</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4</w:t>
            </w:r>
          </w:p>
        </w:tc>
        <w:tc>
          <w:tcPr>
            <w:tcW w:w="5205" w:type="dxa"/>
            <w:vAlign w:val="center"/>
          </w:tcPr>
          <w:p>
            <w:pPr>
              <w:adjustRightInd/>
              <w:snapToGrid/>
              <w:spacing w:line="360" w:lineRule="exact"/>
              <w:ind w:firstLine="0" w:firstLineChars="0"/>
              <w:jc w:val="left"/>
              <w:rPr>
                <w:sz w:val="24"/>
                <w:szCs w:val="24"/>
              </w:rPr>
            </w:pPr>
            <w:r>
              <w:rPr>
                <w:sz w:val="24"/>
                <w:szCs w:val="24"/>
              </w:rPr>
              <w:t>基本医疗保险参保率（%）</w:t>
            </w:r>
          </w:p>
        </w:tc>
        <w:tc>
          <w:tcPr>
            <w:tcW w:w="1431" w:type="dxa"/>
            <w:vAlign w:val="center"/>
          </w:tcPr>
          <w:p>
            <w:pPr>
              <w:adjustRightInd/>
              <w:snapToGrid/>
              <w:spacing w:line="360" w:lineRule="exact"/>
              <w:ind w:firstLine="0" w:firstLineChars="0"/>
              <w:jc w:val="center"/>
              <w:rPr>
                <w:sz w:val="24"/>
                <w:szCs w:val="24"/>
              </w:rPr>
            </w:pPr>
            <w:r>
              <w:rPr>
                <w:sz w:val="24"/>
                <w:szCs w:val="24"/>
              </w:rPr>
              <w:t>96.2</w:t>
            </w:r>
          </w:p>
        </w:tc>
        <w:tc>
          <w:tcPr>
            <w:tcW w:w="1155" w:type="dxa"/>
            <w:vAlign w:val="center"/>
          </w:tcPr>
          <w:p>
            <w:pPr>
              <w:adjustRightInd/>
              <w:snapToGrid/>
              <w:spacing w:line="360" w:lineRule="exact"/>
              <w:ind w:firstLine="0" w:firstLineChars="0"/>
              <w:jc w:val="center"/>
              <w:rPr>
                <w:sz w:val="24"/>
                <w:szCs w:val="24"/>
              </w:rPr>
            </w:pPr>
            <w:r>
              <w:rPr>
                <w:sz w:val="24"/>
                <w:szCs w:val="24"/>
              </w:rPr>
              <w:t>95</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280" w:lineRule="exact"/>
              <w:ind w:firstLine="0" w:firstLineChars="0"/>
              <w:jc w:val="center"/>
              <w:rPr>
                <w:sz w:val="24"/>
                <w:szCs w:val="24"/>
              </w:rPr>
            </w:pPr>
            <w:r>
              <w:rPr>
                <w:rFonts w:hint="eastAsia"/>
                <w:sz w:val="24"/>
                <w:szCs w:val="24"/>
              </w:rPr>
              <w:t>1</w:t>
            </w:r>
            <w:r>
              <w:rPr>
                <w:sz w:val="24"/>
                <w:szCs w:val="24"/>
              </w:rPr>
              <w:t>6</w:t>
            </w:r>
          </w:p>
        </w:tc>
        <w:tc>
          <w:tcPr>
            <w:tcW w:w="5205" w:type="dxa"/>
            <w:vAlign w:val="center"/>
          </w:tcPr>
          <w:p>
            <w:pPr>
              <w:adjustRightInd/>
              <w:snapToGrid/>
              <w:spacing w:line="280" w:lineRule="exact"/>
              <w:ind w:firstLine="0" w:firstLineChars="0"/>
              <w:jc w:val="left"/>
              <w:rPr>
                <w:sz w:val="24"/>
                <w:szCs w:val="24"/>
              </w:rPr>
            </w:pPr>
            <w:r>
              <w:rPr>
                <w:sz w:val="24"/>
                <w:szCs w:val="24"/>
              </w:rPr>
              <w:t>建档立卡贫困户、低保户、农村分散供养特困人员、贫困残疾人家庭等4类重点对象农村危房改造（户）</w:t>
            </w:r>
          </w:p>
        </w:tc>
        <w:tc>
          <w:tcPr>
            <w:tcW w:w="1431" w:type="dxa"/>
            <w:vAlign w:val="center"/>
          </w:tcPr>
          <w:p>
            <w:pPr>
              <w:adjustRightInd/>
              <w:snapToGrid/>
              <w:spacing w:line="28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280" w:lineRule="exact"/>
              <w:ind w:firstLine="0" w:firstLineChars="0"/>
              <w:rPr>
                <w:sz w:val="24"/>
                <w:szCs w:val="24"/>
              </w:rPr>
            </w:pPr>
            <w:r>
              <w:rPr>
                <w:sz w:val="22"/>
                <w:szCs w:val="22"/>
              </w:rPr>
              <w:t>持续做好贫困户住房安全保障工作</w:t>
            </w:r>
            <w:r>
              <w:rPr>
                <w:rStyle w:val="26"/>
                <w:sz w:val="22"/>
                <w:szCs w:val="22"/>
              </w:rPr>
              <w:footnoteReference w:id="3"/>
            </w:r>
          </w:p>
        </w:tc>
        <w:tc>
          <w:tcPr>
            <w:tcW w:w="992" w:type="dxa"/>
            <w:vAlign w:val="center"/>
          </w:tcPr>
          <w:p>
            <w:pPr>
              <w:adjustRightInd/>
              <w:snapToGrid/>
              <w:spacing w:line="28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五</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医疗和公共卫生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7</w:t>
            </w:r>
          </w:p>
        </w:tc>
        <w:tc>
          <w:tcPr>
            <w:tcW w:w="5205" w:type="dxa"/>
            <w:vAlign w:val="center"/>
          </w:tcPr>
          <w:p>
            <w:pPr>
              <w:adjustRightInd/>
              <w:snapToGrid/>
              <w:spacing w:line="360" w:lineRule="exact"/>
              <w:ind w:firstLine="0" w:firstLineChars="0"/>
              <w:jc w:val="left"/>
              <w:rPr>
                <w:sz w:val="24"/>
                <w:szCs w:val="24"/>
              </w:rPr>
            </w:pPr>
            <w:r>
              <w:rPr>
                <w:sz w:val="24"/>
                <w:szCs w:val="24"/>
              </w:rPr>
              <w:t>5岁以下儿童死亡率（‰）</w:t>
            </w:r>
          </w:p>
        </w:tc>
        <w:tc>
          <w:tcPr>
            <w:tcW w:w="1431" w:type="dxa"/>
            <w:vAlign w:val="center"/>
          </w:tcPr>
          <w:p>
            <w:pPr>
              <w:adjustRightInd/>
              <w:snapToGrid/>
              <w:spacing w:line="360" w:lineRule="exact"/>
              <w:ind w:firstLine="0" w:firstLineChars="0"/>
              <w:jc w:val="center"/>
              <w:rPr>
                <w:sz w:val="24"/>
                <w:szCs w:val="24"/>
              </w:rPr>
            </w:pPr>
            <w:r>
              <w:rPr>
                <w:sz w:val="24"/>
                <w:szCs w:val="24"/>
              </w:rPr>
              <w:t>0.7</w:t>
            </w:r>
          </w:p>
        </w:tc>
        <w:tc>
          <w:tcPr>
            <w:tcW w:w="1155" w:type="dxa"/>
            <w:vAlign w:val="center"/>
          </w:tcPr>
          <w:p>
            <w:pPr>
              <w:adjustRightInd/>
              <w:snapToGrid/>
              <w:spacing w:line="360" w:lineRule="exact"/>
              <w:ind w:firstLine="0" w:firstLineChars="0"/>
              <w:jc w:val="center"/>
              <w:rPr>
                <w:sz w:val="24"/>
                <w:szCs w:val="24"/>
              </w:rPr>
            </w:pPr>
            <w:r>
              <w:rPr>
                <w:sz w:val="24"/>
                <w:szCs w:val="24"/>
              </w:rPr>
              <w:t>0.5</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8</w:t>
            </w:r>
          </w:p>
        </w:tc>
        <w:tc>
          <w:tcPr>
            <w:tcW w:w="5205" w:type="dxa"/>
            <w:vAlign w:val="center"/>
          </w:tcPr>
          <w:p>
            <w:pPr>
              <w:adjustRightInd/>
              <w:snapToGrid/>
              <w:spacing w:line="360" w:lineRule="exact"/>
              <w:ind w:firstLine="0" w:firstLineChars="0"/>
              <w:jc w:val="left"/>
              <w:rPr>
                <w:sz w:val="24"/>
                <w:szCs w:val="24"/>
              </w:rPr>
            </w:pPr>
            <w:r>
              <w:rPr>
                <w:sz w:val="24"/>
                <w:szCs w:val="24"/>
              </w:rPr>
              <w:t>孕产妇死亡率（1/10万）</w:t>
            </w:r>
          </w:p>
        </w:tc>
        <w:tc>
          <w:tcPr>
            <w:tcW w:w="1431" w:type="dxa"/>
            <w:vAlign w:val="center"/>
          </w:tcPr>
          <w:p>
            <w:pPr>
              <w:adjustRightInd/>
              <w:snapToGrid/>
              <w:spacing w:line="360" w:lineRule="exact"/>
              <w:ind w:firstLine="0" w:firstLineChars="0"/>
              <w:jc w:val="center"/>
              <w:rPr>
                <w:sz w:val="24"/>
                <w:szCs w:val="24"/>
              </w:rPr>
            </w:pPr>
            <w:r>
              <w:rPr>
                <w:sz w:val="24"/>
                <w:szCs w:val="24"/>
              </w:rPr>
              <w:t>10</w:t>
            </w:r>
          </w:p>
        </w:tc>
        <w:tc>
          <w:tcPr>
            <w:tcW w:w="1155" w:type="dxa"/>
            <w:vAlign w:val="center"/>
          </w:tcPr>
          <w:p>
            <w:pPr>
              <w:adjustRightInd/>
              <w:snapToGrid/>
              <w:spacing w:line="360" w:lineRule="exact"/>
              <w:ind w:firstLine="0" w:firstLineChars="0"/>
              <w:jc w:val="center"/>
              <w:rPr>
                <w:sz w:val="24"/>
                <w:szCs w:val="24"/>
              </w:rPr>
            </w:pPr>
            <w:r>
              <w:rPr>
                <w:sz w:val="24"/>
                <w:szCs w:val="24"/>
              </w:rPr>
              <w:t>8</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9</w:t>
            </w:r>
          </w:p>
        </w:tc>
        <w:tc>
          <w:tcPr>
            <w:tcW w:w="5205" w:type="dxa"/>
            <w:vAlign w:val="center"/>
          </w:tcPr>
          <w:p>
            <w:pPr>
              <w:adjustRightInd/>
              <w:snapToGrid/>
              <w:spacing w:line="360" w:lineRule="exact"/>
              <w:ind w:firstLine="0" w:firstLineChars="0"/>
              <w:jc w:val="left"/>
              <w:rPr>
                <w:sz w:val="24"/>
                <w:szCs w:val="24"/>
              </w:rPr>
            </w:pPr>
            <w:r>
              <w:rPr>
                <w:rFonts w:hint="eastAsia"/>
                <w:sz w:val="24"/>
                <w:szCs w:val="24"/>
              </w:rPr>
              <w:t>千人口执业（助理）医师数（人）</w:t>
            </w:r>
          </w:p>
        </w:tc>
        <w:tc>
          <w:tcPr>
            <w:tcW w:w="1431" w:type="dxa"/>
            <w:vAlign w:val="center"/>
          </w:tcPr>
          <w:p>
            <w:pPr>
              <w:adjustRightInd/>
              <w:snapToGrid/>
              <w:spacing w:line="360" w:lineRule="exact"/>
              <w:ind w:firstLine="0" w:firstLineChars="0"/>
              <w:jc w:val="center"/>
              <w:rPr>
                <w:rFonts w:hint="eastAsia" w:eastAsia="仿宋"/>
                <w:sz w:val="24"/>
                <w:szCs w:val="24"/>
                <w:lang w:eastAsia="zh-CN"/>
              </w:rPr>
            </w:pPr>
            <w:r>
              <w:rPr>
                <w:sz w:val="24"/>
                <w:szCs w:val="24"/>
              </w:rPr>
              <w:t>1.7</w:t>
            </w:r>
            <w:r>
              <w:rPr>
                <w:rFonts w:hint="eastAsia"/>
                <w:sz w:val="24"/>
                <w:szCs w:val="24"/>
                <w:lang w:val="en-US" w:eastAsia="zh-CN"/>
              </w:rPr>
              <w:t>6</w:t>
            </w:r>
          </w:p>
        </w:tc>
        <w:tc>
          <w:tcPr>
            <w:tcW w:w="1155" w:type="dxa"/>
            <w:vAlign w:val="center"/>
          </w:tcPr>
          <w:p>
            <w:pPr>
              <w:adjustRightInd/>
              <w:snapToGrid/>
              <w:spacing w:line="360" w:lineRule="exact"/>
              <w:ind w:firstLine="0" w:firstLineChars="0"/>
              <w:jc w:val="center"/>
              <w:rPr>
                <w:rFonts w:hint="default" w:eastAsia="仿宋"/>
                <w:sz w:val="24"/>
                <w:szCs w:val="24"/>
                <w:lang w:val="en-US" w:eastAsia="zh-CN"/>
              </w:rPr>
            </w:pPr>
            <w:r>
              <w:rPr>
                <w:rFonts w:hint="eastAsia"/>
                <w:sz w:val="24"/>
                <w:szCs w:val="24"/>
                <w:lang w:val="en-US" w:eastAsia="zh-CN"/>
              </w:rPr>
              <w:t>2.4</w:t>
            </w:r>
          </w:p>
        </w:tc>
        <w:tc>
          <w:tcPr>
            <w:tcW w:w="992" w:type="dxa"/>
            <w:vAlign w:val="center"/>
          </w:tcPr>
          <w:p>
            <w:pPr>
              <w:adjustRightInd/>
              <w:snapToGrid/>
              <w:spacing w:line="360" w:lineRule="exact"/>
              <w:ind w:firstLine="0" w:firstLineChars="0"/>
              <w:jc w:val="center"/>
              <w:rPr>
                <w:sz w:val="24"/>
                <w:szCs w:val="24"/>
              </w:rPr>
            </w:pPr>
            <w:r>
              <w:rPr>
                <w:rFonts w:hint="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r>
              <w:rPr>
                <w:sz w:val="24"/>
                <w:szCs w:val="24"/>
              </w:rPr>
              <w:t>0</w:t>
            </w:r>
          </w:p>
        </w:tc>
        <w:tc>
          <w:tcPr>
            <w:tcW w:w="5205" w:type="dxa"/>
            <w:vAlign w:val="center"/>
          </w:tcPr>
          <w:p>
            <w:pPr>
              <w:adjustRightInd/>
              <w:snapToGrid/>
              <w:spacing w:line="360" w:lineRule="exact"/>
              <w:ind w:firstLine="0" w:firstLineChars="0"/>
              <w:jc w:val="left"/>
              <w:rPr>
                <w:sz w:val="24"/>
                <w:szCs w:val="24"/>
              </w:rPr>
            </w:pPr>
            <w:r>
              <w:rPr>
                <w:rFonts w:hint="eastAsia"/>
                <w:sz w:val="24"/>
                <w:szCs w:val="24"/>
              </w:rPr>
              <w:t>万人口全科医生数（人）</w:t>
            </w:r>
          </w:p>
        </w:tc>
        <w:tc>
          <w:tcPr>
            <w:tcW w:w="1431" w:type="dxa"/>
            <w:vAlign w:val="center"/>
          </w:tcPr>
          <w:p>
            <w:pPr>
              <w:adjustRightInd/>
              <w:snapToGrid/>
              <w:spacing w:line="360" w:lineRule="exact"/>
              <w:ind w:firstLine="0" w:firstLineChars="0"/>
              <w:jc w:val="center"/>
              <w:rPr>
                <w:sz w:val="24"/>
                <w:szCs w:val="24"/>
              </w:rPr>
            </w:pPr>
            <w:r>
              <w:rPr>
                <w:sz w:val="24"/>
                <w:szCs w:val="24"/>
              </w:rPr>
              <w:t>1.38</w:t>
            </w:r>
          </w:p>
        </w:tc>
        <w:tc>
          <w:tcPr>
            <w:tcW w:w="1155" w:type="dxa"/>
            <w:vAlign w:val="center"/>
          </w:tcPr>
          <w:p>
            <w:pPr>
              <w:adjustRightInd/>
              <w:snapToGrid/>
              <w:spacing w:line="360" w:lineRule="exact"/>
              <w:ind w:firstLine="0" w:firstLineChars="0"/>
              <w:jc w:val="center"/>
              <w:rPr>
                <w:sz w:val="24"/>
                <w:szCs w:val="24"/>
              </w:rPr>
            </w:pPr>
            <w:r>
              <w:rPr>
                <w:sz w:val="24"/>
                <w:szCs w:val="24"/>
              </w:rPr>
              <w:t>2</w:t>
            </w:r>
          </w:p>
        </w:tc>
        <w:tc>
          <w:tcPr>
            <w:tcW w:w="992" w:type="dxa"/>
            <w:vAlign w:val="center"/>
          </w:tcPr>
          <w:p>
            <w:pPr>
              <w:adjustRightInd/>
              <w:snapToGrid/>
              <w:spacing w:line="360" w:lineRule="exact"/>
              <w:ind w:firstLine="0" w:firstLineChars="0"/>
              <w:jc w:val="center"/>
              <w:rPr>
                <w:sz w:val="24"/>
                <w:szCs w:val="24"/>
              </w:rPr>
            </w:pPr>
            <w:r>
              <w:rPr>
                <w:rFonts w:hint="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r>
              <w:rPr>
                <w:sz w:val="24"/>
                <w:szCs w:val="24"/>
              </w:rPr>
              <w:t>1</w:t>
            </w:r>
          </w:p>
        </w:tc>
        <w:tc>
          <w:tcPr>
            <w:tcW w:w="5205" w:type="dxa"/>
            <w:vAlign w:val="center"/>
          </w:tcPr>
          <w:p>
            <w:pPr>
              <w:adjustRightInd/>
              <w:snapToGrid/>
              <w:spacing w:line="360" w:lineRule="exact"/>
              <w:ind w:firstLine="0" w:firstLineChars="0"/>
              <w:jc w:val="left"/>
              <w:rPr>
                <w:sz w:val="24"/>
                <w:szCs w:val="24"/>
              </w:rPr>
            </w:pPr>
            <w:r>
              <w:rPr>
                <w:sz w:val="24"/>
                <w:szCs w:val="24"/>
              </w:rPr>
              <w:t>每千名老人拥有社会养老床位数（张）</w:t>
            </w:r>
          </w:p>
        </w:tc>
        <w:tc>
          <w:tcPr>
            <w:tcW w:w="1431" w:type="dxa"/>
            <w:vAlign w:val="center"/>
          </w:tcPr>
          <w:p>
            <w:pPr>
              <w:adjustRightInd/>
              <w:snapToGrid/>
              <w:spacing w:line="360" w:lineRule="exact"/>
              <w:ind w:firstLine="0" w:firstLineChars="0"/>
              <w:jc w:val="center"/>
              <w:rPr>
                <w:sz w:val="24"/>
                <w:szCs w:val="24"/>
              </w:rPr>
            </w:pPr>
            <w:r>
              <w:rPr>
                <w:sz w:val="24"/>
                <w:szCs w:val="24"/>
              </w:rPr>
              <w:t>36.2</w:t>
            </w:r>
          </w:p>
        </w:tc>
        <w:tc>
          <w:tcPr>
            <w:tcW w:w="1155" w:type="dxa"/>
            <w:vAlign w:val="center"/>
          </w:tcPr>
          <w:p>
            <w:pPr>
              <w:adjustRightInd/>
              <w:snapToGrid/>
              <w:spacing w:line="360" w:lineRule="exact"/>
              <w:ind w:firstLine="0" w:firstLineChars="0"/>
              <w:jc w:val="center"/>
              <w:rPr>
                <w:sz w:val="24"/>
                <w:szCs w:val="24"/>
              </w:rPr>
            </w:pPr>
            <w:r>
              <w:rPr>
                <w:rFonts w:hint="eastAsia"/>
                <w:sz w:val="24"/>
                <w:szCs w:val="24"/>
              </w:rPr>
              <w:t>40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六</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社 会 服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22</w:t>
            </w:r>
          </w:p>
        </w:tc>
        <w:tc>
          <w:tcPr>
            <w:tcW w:w="5205" w:type="dxa"/>
            <w:vAlign w:val="center"/>
          </w:tcPr>
          <w:p>
            <w:pPr>
              <w:adjustRightInd/>
              <w:snapToGrid/>
              <w:spacing w:line="360" w:lineRule="exact"/>
              <w:ind w:firstLine="0" w:firstLineChars="0"/>
              <w:jc w:val="left"/>
              <w:rPr>
                <w:sz w:val="24"/>
                <w:szCs w:val="24"/>
              </w:rPr>
            </w:pPr>
            <w:r>
              <w:rPr>
                <w:sz w:val="24"/>
                <w:szCs w:val="24"/>
              </w:rPr>
              <w:t>城镇“三无”对象有意愿的集中供养率(%)</w:t>
            </w:r>
          </w:p>
        </w:tc>
        <w:tc>
          <w:tcPr>
            <w:tcW w:w="1431" w:type="dxa"/>
            <w:vAlign w:val="center"/>
          </w:tcPr>
          <w:p>
            <w:pPr>
              <w:adjustRightInd/>
              <w:snapToGrid/>
              <w:spacing w:line="360" w:lineRule="exact"/>
              <w:ind w:firstLine="0" w:firstLineChars="0"/>
              <w:jc w:val="center"/>
              <w:rPr>
                <w:sz w:val="24"/>
                <w:szCs w:val="24"/>
              </w:rPr>
            </w:pPr>
            <w:r>
              <w:rPr>
                <w:sz w:val="24"/>
                <w:szCs w:val="24"/>
              </w:rPr>
              <w:t>100</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23</w:t>
            </w:r>
          </w:p>
        </w:tc>
        <w:tc>
          <w:tcPr>
            <w:tcW w:w="5205" w:type="dxa"/>
            <w:vAlign w:val="center"/>
          </w:tcPr>
          <w:p>
            <w:pPr>
              <w:adjustRightInd/>
              <w:snapToGrid/>
              <w:spacing w:line="360" w:lineRule="exact"/>
              <w:ind w:firstLine="0" w:firstLineChars="0"/>
              <w:jc w:val="left"/>
              <w:rPr>
                <w:sz w:val="24"/>
                <w:szCs w:val="24"/>
              </w:rPr>
            </w:pPr>
            <w:r>
              <w:rPr>
                <w:sz w:val="24"/>
                <w:szCs w:val="24"/>
              </w:rPr>
              <w:t>农村五保对象有意愿的集中供养率（%）</w:t>
            </w:r>
          </w:p>
        </w:tc>
        <w:tc>
          <w:tcPr>
            <w:tcW w:w="1431" w:type="dxa"/>
            <w:vAlign w:val="center"/>
          </w:tcPr>
          <w:p>
            <w:pPr>
              <w:adjustRightInd/>
              <w:snapToGrid/>
              <w:spacing w:line="360" w:lineRule="exact"/>
              <w:ind w:firstLine="0" w:firstLineChars="0"/>
              <w:jc w:val="center"/>
              <w:rPr>
                <w:sz w:val="24"/>
                <w:szCs w:val="24"/>
              </w:rPr>
            </w:pPr>
            <w:r>
              <w:rPr>
                <w:sz w:val="24"/>
                <w:szCs w:val="24"/>
              </w:rPr>
              <w:t>100</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25</w:t>
            </w:r>
          </w:p>
        </w:tc>
        <w:tc>
          <w:tcPr>
            <w:tcW w:w="5205" w:type="dxa"/>
            <w:vAlign w:val="center"/>
          </w:tcPr>
          <w:p>
            <w:pPr>
              <w:adjustRightInd/>
              <w:snapToGrid/>
              <w:spacing w:line="360" w:lineRule="exact"/>
              <w:ind w:firstLine="0" w:firstLineChars="0"/>
              <w:jc w:val="left"/>
              <w:rPr>
                <w:sz w:val="24"/>
                <w:szCs w:val="24"/>
              </w:rPr>
            </w:pPr>
            <w:r>
              <w:rPr>
                <w:sz w:val="24"/>
                <w:szCs w:val="24"/>
              </w:rPr>
              <w:t>每万人社会组织拥有量（个）</w:t>
            </w:r>
          </w:p>
        </w:tc>
        <w:tc>
          <w:tcPr>
            <w:tcW w:w="1431" w:type="dxa"/>
            <w:vAlign w:val="center"/>
          </w:tcPr>
          <w:p>
            <w:pPr>
              <w:adjustRightInd/>
              <w:snapToGrid/>
              <w:spacing w:line="360" w:lineRule="exact"/>
              <w:ind w:firstLine="228" w:firstLineChars="95"/>
              <w:jc w:val="center"/>
              <w:rPr>
                <w:sz w:val="24"/>
                <w:szCs w:val="24"/>
              </w:rPr>
            </w:pPr>
            <w:r>
              <w:rPr>
                <w:sz w:val="24"/>
                <w:szCs w:val="24"/>
              </w:rPr>
              <w:t>8.25</w:t>
            </w:r>
          </w:p>
        </w:tc>
        <w:tc>
          <w:tcPr>
            <w:tcW w:w="1155" w:type="dxa"/>
            <w:vAlign w:val="center"/>
          </w:tcPr>
          <w:p>
            <w:pPr>
              <w:adjustRightInd/>
              <w:snapToGrid/>
              <w:spacing w:line="360" w:lineRule="exact"/>
              <w:ind w:firstLine="480"/>
              <w:jc w:val="center"/>
              <w:rPr>
                <w:sz w:val="24"/>
                <w:szCs w:val="24"/>
              </w:rPr>
            </w:pPr>
            <w:r>
              <w:rPr>
                <w:sz w:val="24"/>
                <w:szCs w:val="24"/>
              </w:rPr>
              <w:t>9.23</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七</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文化广电体育旅游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r>
              <w:rPr>
                <w:sz w:val="24"/>
                <w:szCs w:val="24"/>
              </w:rPr>
              <w:t>6</w:t>
            </w:r>
          </w:p>
        </w:tc>
        <w:tc>
          <w:tcPr>
            <w:tcW w:w="5205" w:type="dxa"/>
            <w:vAlign w:val="center"/>
          </w:tcPr>
          <w:p>
            <w:pPr>
              <w:adjustRightInd/>
              <w:snapToGrid/>
              <w:spacing w:line="360" w:lineRule="exact"/>
              <w:ind w:firstLine="0" w:firstLineChars="0"/>
              <w:jc w:val="left"/>
              <w:rPr>
                <w:sz w:val="24"/>
                <w:szCs w:val="24"/>
              </w:rPr>
            </w:pPr>
            <w:r>
              <w:rPr>
                <w:sz w:val="24"/>
                <w:szCs w:val="24"/>
              </w:rPr>
              <w:t>经常参加锻炼体育人数比例（含在校学生）（%）</w:t>
            </w:r>
          </w:p>
        </w:tc>
        <w:tc>
          <w:tcPr>
            <w:tcW w:w="1431" w:type="dxa"/>
            <w:vAlign w:val="center"/>
          </w:tcPr>
          <w:p>
            <w:pPr>
              <w:adjustRightInd/>
              <w:snapToGrid/>
              <w:spacing w:line="360" w:lineRule="exact"/>
              <w:ind w:firstLine="228" w:firstLineChars="95"/>
              <w:jc w:val="center"/>
              <w:rPr>
                <w:sz w:val="24"/>
                <w:szCs w:val="24"/>
              </w:rPr>
            </w:pPr>
            <w:r>
              <w:rPr>
                <w:sz w:val="24"/>
                <w:szCs w:val="24"/>
              </w:rPr>
              <w:t>40%</w:t>
            </w:r>
          </w:p>
        </w:tc>
        <w:tc>
          <w:tcPr>
            <w:tcW w:w="1155" w:type="dxa"/>
            <w:vAlign w:val="center"/>
          </w:tcPr>
          <w:p>
            <w:pPr>
              <w:adjustRightInd/>
              <w:snapToGrid/>
              <w:spacing w:line="360" w:lineRule="exact"/>
              <w:ind w:firstLine="480"/>
              <w:jc w:val="center"/>
              <w:rPr>
                <w:sz w:val="24"/>
                <w:szCs w:val="24"/>
              </w:rPr>
            </w:pPr>
            <w:r>
              <w:rPr>
                <w:sz w:val="24"/>
                <w:szCs w:val="24"/>
              </w:rPr>
              <w:t>43%</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27</w:t>
            </w:r>
          </w:p>
        </w:tc>
        <w:tc>
          <w:tcPr>
            <w:tcW w:w="5205" w:type="dxa"/>
            <w:vAlign w:val="center"/>
          </w:tcPr>
          <w:p>
            <w:pPr>
              <w:adjustRightInd/>
              <w:snapToGrid/>
              <w:spacing w:line="360" w:lineRule="exact"/>
              <w:ind w:firstLine="0" w:firstLineChars="0"/>
              <w:jc w:val="left"/>
              <w:rPr>
                <w:sz w:val="24"/>
                <w:szCs w:val="24"/>
              </w:rPr>
            </w:pPr>
            <w:r>
              <w:rPr>
                <w:sz w:val="24"/>
                <w:szCs w:val="24"/>
              </w:rPr>
              <w:t>人均体育场地面积（平方米）</w:t>
            </w:r>
          </w:p>
        </w:tc>
        <w:tc>
          <w:tcPr>
            <w:tcW w:w="1431" w:type="dxa"/>
            <w:vAlign w:val="center"/>
          </w:tcPr>
          <w:p>
            <w:pPr>
              <w:adjustRightInd/>
              <w:snapToGrid/>
              <w:spacing w:line="360" w:lineRule="exact"/>
              <w:ind w:firstLine="228" w:firstLineChars="95"/>
              <w:jc w:val="center"/>
              <w:rPr>
                <w:sz w:val="24"/>
                <w:szCs w:val="24"/>
              </w:rPr>
            </w:pPr>
            <w:r>
              <w:rPr>
                <w:sz w:val="24"/>
                <w:szCs w:val="24"/>
              </w:rPr>
              <w:t>2.04</w:t>
            </w:r>
          </w:p>
        </w:tc>
        <w:tc>
          <w:tcPr>
            <w:tcW w:w="1155" w:type="dxa"/>
            <w:vAlign w:val="center"/>
          </w:tcPr>
          <w:p>
            <w:pPr>
              <w:adjustRightInd/>
              <w:snapToGrid/>
              <w:spacing w:line="360" w:lineRule="exact"/>
              <w:ind w:firstLine="480"/>
              <w:jc w:val="center"/>
              <w:rPr>
                <w:sz w:val="24"/>
                <w:szCs w:val="24"/>
              </w:rPr>
            </w:pPr>
            <w:r>
              <w:rPr>
                <w:sz w:val="24"/>
                <w:szCs w:val="24"/>
              </w:rPr>
              <w:t>2.3</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28</w:t>
            </w:r>
          </w:p>
        </w:tc>
        <w:tc>
          <w:tcPr>
            <w:tcW w:w="5205" w:type="dxa"/>
            <w:vAlign w:val="center"/>
          </w:tcPr>
          <w:p>
            <w:pPr>
              <w:adjustRightInd/>
              <w:snapToGrid/>
              <w:spacing w:line="360" w:lineRule="exact"/>
              <w:ind w:firstLine="0" w:firstLineChars="0"/>
              <w:jc w:val="left"/>
              <w:rPr>
                <w:sz w:val="24"/>
                <w:szCs w:val="24"/>
              </w:rPr>
            </w:pPr>
            <w:r>
              <w:rPr>
                <w:sz w:val="24"/>
                <w:szCs w:val="24"/>
              </w:rPr>
              <w:t>公共图书馆有效持证人数占全</w:t>
            </w:r>
            <w:r>
              <w:rPr>
                <w:rFonts w:hint="eastAsia"/>
                <w:sz w:val="24"/>
                <w:szCs w:val="24"/>
              </w:rPr>
              <w:t>区</w:t>
            </w:r>
            <w:r>
              <w:rPr>
                <w:sz w:val="24"/>
                <w:szCs w:val="24"/>
              </w:rPr>
              <w:t>人口比例（%）</w:t>
            </w:r>
          </w:p>
        </w:tc>
        <w:tc>
          <w:tcPr>
            <w:tcW w:w="1431" w:type="dxa"/>
            <w:vAlign w:val="center"/>
          </w:tcPr>
          <w:p>
            <w:pPr>
              <w:adjustRightInd/>
              <w:snapToGrid/>
              <w:spacing w:line="360" w:lineRule="exact"/>
              <w:ind w:firstLine="228" w:firstLineChars="95"/>
              <w:jc w:val="center"/>
              <w:rPr>
                <w:sz w:val="24"/>
                <w:szCs w:val="24"/>
              </w:rPr>
            </w:pPr>
          </w:p>
        </w:tc>
        <w:tc>
          <w:tcPr>
            <w:tcW w:w="1155" w:type="dxa"/>
            <w:vAlign w:val="center"/>
          </w:tcPr>
          <w:p>
            <w:pPr>
              <w:adjustRightInd/>
              <w:snapToGrid/>
              <w:spacing w:line="360" w:lineRule="exact"/>
              <w:ind w:firstLine="480"/>
              <w:jc w:val="center"/>
              <w:rPr>
                <w:sz w:val="24"/>
                <w:szCs w:val="24"/>
              </w:rPr>
            </w:pP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bl>
    <w:p>
      <w:pPr>
        <w:pStyle w:val="2"/>
      </w:pPr>
      <w:bookmarkStart w:id="25" w:name="_Toc72400174"/>
      <w:bookmarkStart w:id="26" w:name="_Toc85620520"/>
      <w:bookmarkStart w:id="27" w:name="_Toc64966207"/>
      <w:bookmarkStart w:id="28" w:name="_Toc66112127"/>
      <w:r>
        <w:rPr>
          <w:rFonts w:hint="eastAsia"/>
        </w:rPr>
        <w:t>三、促进人口自身均衡发展</w:t>
      </w:r>
      <w:bookmarkEnd w:id="25"/>
      <w:bookmarkEnd w:id="26"/>
    </w:p>
    <w:p>
      <w:pPr>
        <w:ind w:firstLine="640"/>
        <w:rPr>
          <w:rFonts w:ascii="仿宋" w:hAnsi="仿宋" w:cs="仿宋_GB2312"/>
          <w:szCs w:val="32"/>
        </w:rPr>
      </w:pPr>
      <w:r>
        <w:rPr>
          <w:rFonts w:hint="eastAsia"/>
          <w:shd w:val="clear" w:color="auto" w:fill="FFFFFF"/>
        </w:rPr>
        <w:t>注重人口内部各要素相均衡、人口与经济发展相互动、人口与社会发展相协调、人口与资源环境相适应。力争到</w:t>
      </w:r>
      <w:r>
        <w:rPr>
          <w:shd w:val="clear" w:color="auto" w:fill="FFFFFF"/>
        </w:rPr>
        <w:t>2025</w:t>
      </w:r>
      <w:r>
        <w:rPr>
          <w:rFonts w:hint="eastAsia"/>
          <w:shd w:val="clear" w:color="auto" w:fill="FFFFFF"/>
        </w:rPr>
        <w:t>年</w:t>
      </w:r>
      <w:r>
        <w:rPr>
          <w:rFonts w:hint="eastAsia" w:ascii="仿宋" w:hAnsi="仿宋" w:cs="仿宋_GB2312"/>
          <w:szCs w:val="32"/>
        </w:rPr>
        <w:t>，全区常住人口总量达到</w:t>
      </w:r>
      <w:r>
        <w:rPr>
          <w:szCs w:val="32"/>
        </w:rPr>
        <w:t>114.87</w:t>
      </w:r>
      <w:r>
        <w:rPr>
          <w:rFonts w:hint="eastAsia" w:ascii="仿宋" w:hAnsi="仿宋" w:cs="仿宋_GB2312"/>
          <w:szCs w:val="32"/>
        </w:rPr>
        <w:t>万人</w:t>
      </w:r>
      <w:r>
        <w:rPr>
          <w:rFonts w:hint="eastAsia" w:ascii="仿宋" w:hAnsi="仿宋" w:cs="仿宋_GB2312"/>
          <w:sz w:val="24"/>
          <w:szCs w:val="24"/>
        </w:rPr>
        <w:t>（</w:t>
      </w:r>
      <w:r>
        <w:rPr>
          <w:rFonts w:hint="eastAsia"/>
          <w:sz w:val="24"/>
          <w:szCs w:val="16"/>
        </w:rPr>
        <w:t>保持2</w:t>
      </w:r>
      <w:r>
        <w:rPr>
          <w:sz w:val="24"/>
          <w:szCs w:val="16"/>
        </w:rPr>
        <w:t>020</w:t>
      </w:r>
      <w:r>
        <w:rPr>
          <w:rFonts w:hint="eastAsia"/>
          <w:sz w:val="24"/>
          <w:szCs w:val="16"/>
        </w:rPr>
        <w:t>年人口增速</w:t>
      </w:r>
      <w:r>
        <w:rPr>
          <w:rFonts w:hint="eastAsia" w:ascii="仿宋" w:hAnsi="仿宋" w:cs="仿宋_GB2312"/>
          <w:sz w:val="24"/>
          <w:szCs w:val="24"/>
        </w:rPr>
        <w:t>）</w:t>
      </w:r>
      <w:r>
        <w:rPr>
          <w:rFonts w:hint="eastAsia" w:ascii="仿宋" w:hAnsi="仿宋" w:cs="仿宋_GB2312"/>
          <w:szCs w:val="32"/>
        </w:rPr>
        <w:t>，全区常住人口城镇化率达到</w:t>
      </w:r>
      <w:r>
        <w:rPr>
          <w:szCs w:val="32"/>
        </w:rPr>
        <w:t>58.54</w:t>
      </w:r>
      <w:r>
        <w:rPr>
          <w:rFonts w:hint="eastAsia"/>
          <w:szCs w:val="32"/>
        </w:rPr>
        <w:t>%</w:t>
      </w:r>
      <w:r>
        <w:rPr>
          <w:rFonts w:hint="eastAsia" w:ascii="仿宋" w:hAnsi="仿宋" w:cs="仿宋_GB2312"/>
          <w:szCs w:val="32"/>
        </w:rPr>
        <w:t>。</w:t>
      </w:r>
    </w:p>
    <w:p>
      <w:pPr>
        <w:pStyle w:val="3"/>
      </w:pPr>
      <w:bookmarkStart w:id="29" w:name="_Toc72400175"/>
      <w:bookmarkStart w:id="30" w:name="_Toc85620521"/>
      <w:r>
        <w:rPr>
          <w:rFonts w:hint="eastAsia"/>
        </w:rPr>
        <w:t>（一）延续人口总量势能</w:t>
      </w:r>
      <w:bookmarkEnd w:id="29"/>
      <w:bookmarkEnd w:id="30"/>
    </w:p>
    <w:p>
      <w:pPr>
        <w:ind w:firstLine="643"/>
      </w:pPr>
      <w:r>
        <w:rPr>
          <w:rFonts w:hint="eastAsia" w:ascii="楷体" w:hAnsi="楷体" w:eastAsia="楷体"/>
          <w:b/>
          <w:bCs/>
        </w:rPr>
        <w:t>引导生育水平提升并稳定在适度区间。</w:t>
      </w:r>
      <w:r>
        <w:rPr>
          <w:rFonts w:hint="eastAsia"/>
        </w:rPr>
        <w:t>科学评估经济增长和社会发展对生育行为的影响，密切监测生育水平的变动态势，落实优化生育政策，健全生育调控机制。要针对人口变动态势，做好政策宣传，引导生育水平提升并稳定在适度区间，保持和发挥人口总量势能优势，促进人口自身均衡发展。</w:t>
      </w:r>
    </w:p>
    <w:p>
      <w:pPr>
        <w:ind w:firstLine="643"/>
      </w:pPr>
      <w:r>
        <w:rPr>
          <w:rFonts w:hint="eastAsia" w:ascii="楷体" w:hAnsi="楷体" w:eastAsia="楷体"/>
          <w:b/>
          <w:bCs/>
        </w:rPr>
        <w:t>完善计划生育服务管理。</w:t>
      </w:r>
      <w:r>
        <w:t>落</w:t>
      </w:r>
      <w:r>
        <w:rPr>
          <w:rFonts w:ascii="仿宋" w:hAnsi="仿宋"/>
        </w:rPr>
        <w:t>实“全面两孩”</w:t>
      </w:r>
      <w:r>
        <w:rPr>
          <w:rFonts w:hint="eastAsia" w:ascii="仿宋" w:hAnsi="仿宋"/>
        </w:rPr>
        <w:t>“三孩”</w:t>
      </w:r>
      <w:r>
        <w:rPr>
          <w:rFonts w:ascii="仿宋" w:hAnsi="仿宋"/>
        </w:rPr>
        <w:t>计生政策，</w:t>
      </w:r>
      <w:r>
        <w:rPr>
          <w:rFonts w:hint="eastAsia" w:ascii="仿宋" w:hAnsi="仿宋"/>
        </w:rPr>
        <w:t>推动人口和计划生育工作由控制人口数量为主向调控总量、提升素质和优化结构并举转变。坚持党政一把手亲自抓、负总责，落实和完善计划生育目标管理责任制。</w:t>
      </w:r>
      <w:r>
        <w:rPr>
          <w:rFonts w:ascii="仿宋" w:hAnsi="仿宋"/>
        </w:rPr>
        <w:t>加强人口动态监测工作，完善计划生育宣传倡导、依法管理、群众自治、优质服务、政策推动、综合治理的计划生育工作长效机制</w:t>
      </w:r>
      <w:r>
        <w:rPr>
          <w:rFonts w:hint="eastAsia" w:ascii="仿宋" w:hAnsi="仿宋"/>
        </w:rPr>
        <w:t>。推进计划生育服务管理改革，实行生育登记服务制度，加强计划生育服务管理信息化建设，进一步简政便民。</w:t>
      </w:r>
      <w:r>
        <w:rPr>
          <w:rFonts w:ascii="仿宋" w:hAnsi="仿宋"/>
        </w:rPr>
        <w:t>落实计生利益导向政策，</w:t>
      </w:r>
      <w:r>
        <w:rPr>
          <w:rFonts w:hint="eastAsia" w:ascii="仿宋" w:hAnsi="仿宋"/>
        </w:rPr>
        <w:t>对全面两孩政策实施前的独生子女家庭和农村计划生育双女家庭，落实各项奖励扶助政策，在社会保障、集体收益分配、就业创业、新农村建设等方面予以倾斜。</w:t>
      </w:r>
      <w:r>
        <w:rPr>
          <w:rFonts w:ascii="仿宋" w:hAnsi="仿宋"/>
        </w:rPr>
        <w:t>开展村居的新家庭计划项目</w:t>
      </w:r>
      <w:r>
        <w:rPr>
          <w:rFonts w:hint="eastAsia" w:ascii="仿宋" w:hAnsi="仿宋"/>
        </w:rPr>
        <w:t>，普及</w:t>
      </w:r>
      <w:r>
        <w:rPr>
          <w:rFonts w:ascii="仿宋" w:hAnsi="仿宋" w:cs="Arial"/>
          <w:shd w:val="clear" w:color="auto" w:fill="FFFFFF"/>
        </w:rPr>
        <w:t>家庭保健、科学育儿、养老照护、家庭文化</w:t>
      </w:r>
      <w:r>
        <w:rPr>
          <w:rFonts w:hint="eastAsia" w:ascii="仿宋" w:hAnsi="仿宋" w:cs="Arial"/>
          <w:shd w:val="clear" w:color="auto" w:fill="FFFFFF"/>
        </w:rPr>
        <w:t>等知识</w:t>
      </w:r>
      <w:r>
        <w:rPr>
          <w:rFonts w:ascii="仿宋" w:hAnsi="仿宋"/>
        </w:rPr>
        <w:t>，培养家庭成员的健康照护意识，</w:t>
      </w:r>
      <w:r>
        <w:t>提升家庭成员的文化素养，增强家庭发展能力。</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vAlign w:val="center"/>
          </w:tcPr>
          <w:p>
            <w:pPr>
              <w:spacing w:line="240" w:lineRule="auto"/>
              <w:ind w:firstLine="0" w:firstLineChars="0"/>
              <w:jc w:val="center"/>
              <w:rPr>
                <w:rFonts w:ascii="黑体" w:hAnsi="黑体" w:eastAsia="黑体"/>
                <w:b/>
                <w:bCs/>
                <w:sz w:val="24"/>
                <w:szCs w:val="16"/>
              </w:rPr>
            </w:pPr>
            <w:r>
              <w:rPr>
                <w:rFonts w:hint="eastAsia" w:ascii="黑体" w:hAnsi="黑体" w:eastAsia="黑体"/>
                <w:b/>
                <w:bCs/>
                <w:sz w:val="24"/>
                <w:szCs w:val="16"/>
              </w:rPr>
              <w:t>专栏1 妇幼健康和计划生育服务工程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spacing w:line="400" w:lineRule="exact"/>
              <w:ind w:firstLine="480"/>
              <w:rPr>
                <w:rFonts w:ascii="楷体" w:hAnsi="楷体" w:eastAsia="楷体"/>
                <w:sz w:val="24"/>
                <w:szCs w:val="16"/>
              </w:rPr>
            </w:pPr>
            <w:r>
              <w:rPr>
                <w:rFonts w:hint="eastAsia" w:ascii="楷体" w:hAnsi="楷体" w:eastAsia="楷体"/>
                <w:sz w:val="24"/>
                <w:szCs w:val="16"/>
              </w:rPr>
              <w:t>健全妇幼健康和计划生育服务体系，完善性与生殖健康教育体系及工作机制，加强针对青少年及未婚人群、流动育龄人群的性与生殖健康教育和咨询指导。推进妇幼保健和计划生育技术服务资源整合，健全妇幼健康计划生育服务体系，强化妇女保健特色专科服务能力建设，提供规范的妇女生殖保健服务。实施母婴安全计划、妇幼健康和计划生育服务保障工程，普及适龄青年婚前、孕前和产前检查，向孕产妇多渠道提供生育全过程的基本医疗保健服务。做好流动孕产妇跨地区保健服务以及避孕节育的接续。加强孕产妇健康管理，研发先进适用的计划生育技术和产品，规范开展人类辅助生殖技术，提高计划生育技术服务能力和水平。</w:t>
            </w:r>
          </w:p>
        </w:tc>
      </w:tr>
    </w:tbl>
    <w:p>
      <w:pPr>
        <w:ind w:firstLine="643"/>
      </w:pPr>
      <w:r>
        <w:rPr>
          <w:rFonts w:hint="eastAsia" w:ascii="楷体" w:hAnsi="楷体" w:eastAsia="楷体"/>
          <w:b/>
          <w:bCs/>
        </w:rPr>
        <w:t>推进家庭发展服务。</w:t>
      </w:r>
      <w:r>
        <w:rPr>
          <w:rFonts w:hint="eastAsia"/>
        </w:rPr>
        <w:t>建立完善包括生育支持、幼儿养育、青少年发展、老人赡养、病残照料等在内的家庭发展政策，完善相关的税收、抚育、教育、社会保障、住房等政策，切实减轻生养子女家庭负担。全面落实“全面两孩”“三孩”计生政策，加强人口动态监测工作，完善计划生育宣传倡导、依法管理、群众自治、优质服务、政策推动、综合治理的计划生育工作长效机制。完善计划生育奖励假制度和配偶陪产假制度。鼓励雇主为孕期和哺乳期妇女提供灵活的工作时间安排及必要的便利条件。支持妇女生育后重返工作岗位。增强社区幼儿照料、托老日间照料和居家养老等服务功能。完善殡葬基本公共服务。贯彻落实男女平等基本国策，促进妇女儿童全面发展，提高家庭生育意愿，努力保持出生人口数量基本稳定。</w:t>
      </w:r>
    </w:p>
    <w:p>
      <w:pPr>
        <w:ind w:firstLine="643"/>
      </w:pPr>
      <w:r>
        <w:rPr>
          <w:rFonts w:hint="eastAsia" w:ascii="楷体" w:hAnsi="楷体" w:eastAsia="楷体"/>
          <w:b/>
          <w:bCs/>
        </w:rPr>
        <w:t>积极应对人口老龄化。</w:t>
      </w:r>
      <w:r>
        <w:rPr>
          <w:rFonts w:hint="eastAsia"/>
        </w:rPr>
        <w:t>推进老龄事业全面协调可持续发展，大力发展政府兜底保障型养老、社区居家养老、社会化中高端养老相结合的养老模式，建立健全以居家为基础、社区为依托、机构为支撑的适度普惠型社会养老服务体系。加大社区养老服务设施建设力度，整合闲置的教育培训、商业办公、医疗卫生、疗养机构和厂房等社会资源发展养老事业，将社区居家养老服务设施纳入城乡社区配套用房建设范围。积极开发老年人力资源，鼓励专业技术领域人才延长工作年限，积极发挥其在科学研究、学术交流和咨询服务等方面的积极作用，充分发挥老年人参与经济社会活动的主观能动性和积极作用。拓展完善以居家为基础、社区为依托、机构为补充、医养结合的养老服务体系，增强养老服务供给能力。加强农村养老机构建设，大力发展农村互助养老服务，推动农村特困人员供养服务机构的服务设施和服务质量达标。积极探索“老年友好型城市”建设，广泛开展“老年宜居社区”建设示范行动，到20</w:t>
      </w:r>
      <w:r>
        <w:t>25</w:t>
      </w:r>
      <w:r>
        <w:rPr>
          <w:rFonts w:hint="eastAsia"/>
        </w:rPr>
        <w:t>年，社区、乡镇老年宜居社区覆盖率达到</w:t>
      </w:r>
      <w:r>
        <w:t>60</w:t>
      </w:r>
      <w:r>
        <w:rPr>
          <w:rFonts w:hint="eastAsia"/>
        </w:rPr>
        <w:t>%，老年人基本公共服务需求能够在社区得到基本满足。</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40" w:lineRule="auto"/>
              <w:ind w:firstLine="0" w:firstLineChars="0"/>
              <w:jc w:val="center"/>
              <w:rPr>
                <w:rFonts w:ascii="黑体" w:hAnsi="黑体" w:eastAsia="黑体"/>
                <w:b/>
                <w:bCs/>
                <w:sz w:val="24"/>
                <w:szCs w:val="16"/>
              </w:rPr>
            </w:pPr>
            <w:r>
              <w:rPr>
                <w:rFonts w:hint="eastAsia" w:ascii="黑体" w:hAnsi="黑体" w:eastAsia="黑体"/>
                <w:b/>
                <w:bCs/>
                <w:sz w:val="24"/>
                <w:szCs w:val="16"/>
              </w:rPr>
              <w:t xml:space="preserve">专栏2 </w:t>
            </w:r>
            <w:r>
              <w:rPr>
                <w:rFonts w:ascii="黑体" w:hAnsi="黑体" w:eastAsia="黑体"/>
                <w:b/>
                <w:bCs/>
                <w:sz w:val="24"/>
                <w:szCs w:val="16"/>
              </w:rPr>
              <w:t xml:space="preserve"> </w:t>
            </w:r>
            <w:r>
              <w:rPr>
                <w:rFonts w:hint="eastAsia" w:ascii="黑体" w:hAnsi="黑体" w:eastAsia="黑体"/>
                <w:b/>
                <w:bCs/>
                <w:sz w:val="24"/>
                <w:szCs w:val="16"/>
              </w:rPr>
              <w:t>老年教育机构基础能力提升计划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480"/>
              <w:rPr>
                <w:rFonts w:ascii="楷体" w:hAnsi="楷体" w:eastAsia="楷体"/>
                <w:sz w:val="24"/>
                <w:szCs w:val="16"/>
              </w:rPr>
            </w:pPr>
            <w:r>
              <w:rPr>
                <w:rFonts w:hint="eastAsia" w:ascii="楷体" w:hAnsi="楷体" w:eastAsia="楷体"/>
                <w:sz w:val="24"/>
                <w:szCs w:val="16"/>
              </w:rPr>
              <w:t>改善老年大学（学校）办学条件，建设一批乡镇（街道）老年人学习示范场所，大力发展老年教育培训。</w:t>
            </w:r>
          </w:p>
        </w:tc>
      </w:tr>
    </w:tbl>
    <w:p>
      <w:pPr>
        <w:pStyle w:val="3"/>
      </w:pPr>
      <w:bookmarkStart w:id="31" w:name="_Toc85620522"/>
      <w:r>
        <w:rPr>
          <w:rFonts w:hint="eastAsia"/>
        </w:rPr>
        <w:t>（二）优化人口空间布局</w:t>
      </w:r>
      <w:bookmarkEnd w:id="31"/>
    </w:p>
    <w:p>
      <w:pPr>
        <w:ind w:firstLine="643"/>
      </w:pPr>
      <w:r>
        <w:rPr>
          <w:rFonts w:hint="eastAsia" w:ascii="楷体" w:hAnsi="楷体" w:eastAsia="楷体"/>
          <w:b/>
          <w:bCs/>
        </w:rPr>
        <w:t>加快完善人口数据管理。</w:t>
      </w:r>
      <w:r>
        <w:rPr>
          <w:rFonts w:hint="eastAsia"/>
        </w:rPr>
        <w:t>充分利用人口普查数据，建设完善覆盖全区常住人口、以公民身份证号码为唯一标识、以人口基础信息为基准的、口径标准统一的、资源共享的全区人口基础信息库。整合相关部门人口数据和信息资源，实现跨部门、跨地区人口基础信息的互联互通、动态更新和综合应用集成，充分发挥人口基础信息对决策的支撑作用。全面建立与省、市等有关单位的人口基础信息交流机制，实时准确掌握流动人口信息。</w:t>
      </w:r>
    </w:p>
    <w:p>
      <w:pPr>
        <w:ind w:firstLine="643"/>
      </w:pPr>
      <w:r>
        <w:rPr>
          <w:rFonts w:hint="eastAsia" w:ascii="楷体" w:hAnsi="楷体" w:eastAsia="楷体"/>
          <w:b/>
          <w:bCs/>
        </w:rPr>
        <w:t>积极</w:t>
      </w:r>
      <w:r>
        <w:rPr>
          <w:rFonts w:ascii="楷体" w:hAnsi="楷体" w:eastAsia="楷体"/>
          <w:b/>
          <w:bCs/>
        </w:rPr>
        <w:t>推进新型城镇化</w:t>
      </w:r>
      <w:r>
        <w:rPr>
          <w:rFonts w:hint="eastAsia" w:ascii="楷体" w:hAnsi="楷体" w:eastAsia="楷体"/>
          <w:b/>
          <w:bCs/>
        </w:rPr>
        <w:t>。</w:t>
      </w:r>
      <w:r>
        <w:rPr>
          <w:rFonts w:hint="eastAsia"/>
        </w:rPr>
        <w:t>加快推进以人为核心的城镇化，引导人口流动的合理预期，深化户籍制度改革，完善财政转移支付和城镇新增建设用地规模与农业转移人口市民化挂钩政策，强化基本公共服务保障，畅通落户渠道，加快农业转移人口市民化，全面提高城镇化质量。按照尊重意愿、自主选择、因地制宜、分步推进、存量优先、带动增量的原则，实施差别化落户政策，促进有能力在城镇稳定就业和生活的农业转移人口举家进城落户。优化以城镇化和城市群为主体形态的人口空间布局，提高农业转移人口市民化质量，推动人口合理有序聚集。切实保障进城落户农业转移人口与城镇居民享有同等权利和义务。加快实施居住证制度，推进居住证制度覆盖全部未落户城镇常住人口，保障居住证持有人享有国家规定的各项基本公共服务和办事便利。</w:t>
      </w:r>
    </w:p>
    <w:p>
      <w:pPr>
        <w:ind w:firstLine="643"/>
      </w:pPr>
      <w:r>
        <w:rPr>
          <w:rFonts w:hint="eastAsia" w:ascii="楷体" w:hAnsi="楷体" w:eastAsia="楷体"/>
          <w:b/>
          <w:bCs/>
        </w:rPr>
        <w:t>提升流动人口服务管理水平。</w:t>
      </w:r>
      <w:r>
        <w:rPr>
          <w:rFonts w:hint="eastAsia"/>
        </w:rPr>
        <w:t>实行居住地属地管理，进一步完善流动人口的权益保障机制、社会保障体系和公共服务网络。完善流动人口服务管理体制机制，全面实施流动人口登记制度，实行流动人口动态监测机制，实时掌握流动人口分布、生存发展状况及流动人口变化情况。以人口为基本要素，完善公共服务资源配置，增强公共服务对人口集聚和吸纳能力的支撑。</w:t>
      </w:r>
    </w:p>
    <w:bookmarkEnd w:id="27"/>
    <w:bookmarkEnd w:id="28"/>
    <w:p>
      <w:pPr>
        <w:pStyle w:val="2"/>
      </w:pPr>
      <w:bookmarkStart w:id="32" w:name="_Toc85620523"/>
      <w:r>
        <w:rPr>
          <w:rFonts w:hint="eastAsia"/>
        </w:rPr>
        <w:t>四、支持基</w:t>
      </w:r>
      <w:bookmarkStart w:id="33" w:name="_Toc66112128"/>
      <w:r>
        <w:rPr>
          <w:rFonts w:hint="eastAsia"/>
        </w:rPr>
        <w:t>本劳动就业创业</w:t>
      </w:r>
      <w:bookmarkEnd w:id="32"/>
    </w:p>
    <w:p>
      <w:pPr>
        <w:ind w:firstLine="640"/>
      </w:pPr>
      <w:r>
        <w:rPr>
          <w:rFonts w:hint="eastAsia"/>
        </w:rPr>
        <w:t>持续推进积极就业政策，提高劳动者素质，建立和谐劳动关系，保障劳动者权益。到202</w:t>
      </w:r>
      <w:r>
        <w:t>5</w:t>
      </w:r>
      <w:r>
        <w:rPr>
          <w:rFonts w:hint="eastAsia"/>
        </w:rPr>
        <w:t>年，“十四五”期间，力争新增就业</w:t>
      </w:r>
      <w:r>
        <w:t>2.1</w:t>
      </w:r>
      <w:r>
        <w:rPr>
          <w:rFonts w:hint="eastAsia"/>
        </w:rPr>
        <w:t>万人以上，就业创业培训2万人，城镇登记失业率控制在3.</w:t>
      </w:r>
      <w:r>
        <w:rPr>
          <w:rFonts w:hint="eastAsia"/>
          <w:lang w:val="en-US" w:eastAsia="zh-CN"/>
        </w:rPr>
        <w:t>5</w:t>
      </w:r>
      <w:r>
        <w:rPr>
          <w:rFonts w:hint="eastAsia"/>
        </w:rPr>
        <w:t>%以内。</w:t>
      </w:r>
    </w:p>
    <w:p>
      <w:pPr>
        <w:pStyle w:val="3"/>
      </w:pPr>
      <w:bookmarkStart w:id="34" w:name="_Toc85620524"/>
      <w:r>
        <w:rPr>
          <w:rFonts w:hint="eastAsia"/>
        </w:rPr>
        <w:t>（一）推进就业创业服务</w:t>
      </w:r>
      <w:bookmarkEnd w:id="34"/>
    </w:p>
    <w:bookmarkEnd w:id="33"/>
    <w:p>
      <w:pPr>
        <w:ind w:firstLine="643"/>
      </w:pPr>
      <w:r>
        <w:rPr>
          <w:rFonts w:hint="eastAsia" w:ascii="楷体" w:hAnsi="楷体" w:eastAsia="楷体"/>
          <w:b/>
          <w:bCs/>
        </w:rPr>
        <w:t>强化就业优先政策。</w:t>
      </w:r>
      <w:r>
        <w:rPr>
          <w:rFonts w:hint="eastAsia"/>
        </w:rPr>
        <w:t>推动重点群体稳定就业，贯彻和实行好就业优先战略和积极的就业政策，制定培育新动能促进就业政策，完善适应新就业形态的劳动用工和社保政策。深入实施高校毕业生就业创业计划，扎实推进异地务工人员、就业困难人员等群体就业，实现</w:t>
      </w:r>
      <w:r>
        <w:rPr>
          <w:rFonts w:hint="eastAsia"/>
          <w:shd w:val="clear" w:color="auto" w:fill="FFFFFF"/>
        </w:rPr>
        <w:t>就业服务全覆盖</w:t>
      </w:r>
      <w:r>
        <w:rPr>
          <w:rFonts w:hint="eastAsia"/>
        </w:rPr>
        <w:t>。做好农村转移就业劳动者、退役军人、下岗失业人员等重点群体就业创业服务和就业困难人员托底帮扶工作。加强就业信息监测平台和就业信息公共服务平台建设，推动就业服务信息跨区域共享，建立健全失业预警和稳定就业机制。</w:t>
      </w:r>
    </w:p>
    <w:p>
      <w:pPr>
        <w:ind w:firstLine="643"/>
        <w:rPr>
          <w:kern w:val="0"/>
          <w:szCs w:val="32"/>
        </w:rPr>
      </w:pPr>
      <w:r>
        <w:rPr>
          <w:rFonts w:hint="eastAsia" w:ascii="楷体" w:hAnsi="楷体" w:eastAsia="楷体"/>
          <w:b/>
          <w:bCs/>
        </w:rPr>
        <w:t>提升创业服务水平。</w:t>
      </w:r>
      <w:r>
        <w:rPr>
          <w:rFonts w:hint="eastAsia"/>
        </w:rPr>
        <w:t>深入开展大众创业、万众创新，加大对创业创新主体的支持，积极争取各级专项资金，盘活本地闲置厂房、低效利用土地等，加强对双创项目支持。政府投资的孵化基地等要将一定比例场地，免费向高校毕业生、农民工等提供，探索多种形式的创业补贴政策。</w:t>
      </w:r>
      <w:r>
        <w:rPr>
          <w:rFonts w:hint="eastAsia"/>
          <w:kern w:val="0"/>
          <w:szCs w:val="32"/>
        </w:rPr>
        <w:t>支持和鼓励</w:t>
      </w:r>
    </w:p>
    <w:p>
      <w:pPr>
        <w:ind w:firstLine="640"/>
      </w:pPr>
      <w:r>
        <w:rPr>
          <w:rFonts w:hint="eastAsia"/>
          <w:kern w:val="0"/>
          <w:szCs w:val="32"/>
        </w:rPr>
        <w:t>农民就业创业，拓宽增收渠道。支持外出务工人员等返乡创业，进一步优化创业环境。针对就业重点群体和困难人员创业需求，完善小额担保贷管理机制，切实提升创业服务能力。</w:t>
      </w:r>
      <w:r>
        <w:rPr>
          <w:rFonts w:hint="eastAsia"/>
        </w:rPr>
        <w:t>鼓励依托双创示范基地，建设大中小企业融通、跨区域融通发展平台、专业化科技成果转化服务平台。</w:t>
      </w:r>
      <w:r>
        <w:rPr>
          <w:rFonts w:hint="eastAsia"/>
          <w:kern w:val="0"/>
          <w:szCs w:val="32"/>
        </w:rPr>
        <w:t>加强创业指导专家队伍建设，发挥其在指导、服务和专业评审中的作用。</w:t>
      </w:r>
      <w:r>
        <w:rPr>
          <w:rFonts w:hint="eastAsia"/>
        </w:rPr>
        <w:t>实施创业带动就业示范行动，推动企业、双创示范基地、互联网平台联合开展托育、养老、家政、旅游、电商等创业培训，引导择业观念，拓展就业空间。</w:t>
      </w:r>
    </w:p>
    <w:p>
      <w:pPr>
        <w:pStyle w:val="3"/>
      </w:pPr>
      <w:bookmarkStart w:id="35" w:name="_Toc85620525"/>
      <w:r>
        <w:rPr>
          <w:rFonts w:hint="eastAsia"/>
        </w:rPr>
        <w:t>（二）</w:t>
      </w:r>
      <w:bookmarkStart w:id="36" w:name="_Toc66112129"/>
      <w:r>
        <w:rPr>
          <w:rFonts w:hint="eastAsia"/>
        </w:rPr>
        <w:t>深化职业技能培训</w:t>
      </w:r>
      <w:bookmarkEnd w:id="35"/>
    </w:p>
    <w:p>
      <w:pPr>
        <w:widowControl/>
        <w:adjustRightInd/>
        <w:snapToGrid/>
        <w:ind w:firstLine="640"/>
      </w:pPr>
      <w:r>
        <w:rPr>
          <w:rFonts w:hint="eastAsia"/>
        </w:rPr>
        <w:t>提高技工教育工作的思想认识，充分发挥技工教育“促进就业、改善民生、推动发展”的重要作用。深化职业教育领域综合改革，完善职业教育统筹机制。推动产教融合发展，完善校企合作制度，大力开展职业教育现代学徒制试点工作，推行引校进厂、引厂入校、前店后校等校企一体化合作形式。创新校企合作办学体制与产教融合机制。推动职业学校参与行业企业技术创新中心、先进装备实验实训中心建设。完善现代职业教育体系，统筹整合全区职业教育资源，创新发展面向农村的职业教育与成人教育，加大新型职业农民的培育力度。推动中等职业学校培养知识型、发展型技术技能人才。进一步加强与职业院校和培训机构的合作，有力提升劳动者的技能水平。实施“粤菜师傅”“广东技工”“南粤家政”三大工程，组织开展城乡劳动力各类技能培训工作，确保达到稳定就业扩大就业的目的。到2025年，建成一个集实习实训教学、技能考核、师资及企业职工培训、技能竞赛、教产研发服务“五位一体”的现代职业教育实训中心。“十四五”期间，力争组织全面技能提升储备培训5</w:t>
      </w:r>
      <w:r>
        <w:t>2000</w:t>
      </w:r>
      <w:r>
        <w:rPr>
          <w:rFonts w:hint="eastAsia"/>
        </w:rPr>
        <w:t>人（次），年培训1</w:t>
      </w:r>
      <w:r>
        <w:t>0400</w:t>
      </w:r>
      <w:r>
        <w:rPr>
          <w:rFonts w:hint="eastAsia"/>
        </w:rPr>
        <w:t>人（次）。</w:t>
      </w:r>
    </w:p>
    <w:bookmarkEnd w:id="36"/>
    <w:p>
      <w:pPr>
        <w:pStyle w:val="3"/>
      </w:pPr>
      <w:bookmarkStart w:id="37" w:name="_Toc85620526"/>
      <w:bookmarkStart w:id="38" w:name="_Toc66112134"/>
      <w:r>
        <w:rPr>
          <w:rFonts w:hint="eastAsia"/>
        </w:rPr>
        <w:t>（三）构建和谐劳动关系</w:t>
      </w:r>
      <w:bookmarkEnd w:id="37"/>
    </w:p>
    <w:p>
      <w:pPr>
        <w:ind w:firstLine="640"/>
      </w:pPr>
      <w:r>
        <w:rPr>
          <w:rFonts w:hint="eastAsia"/>
        </w:rPr>
        <w:t>加强劳动合同管理，推进集体合同制度攻坚计划，强化对国有企业临时用工、非公有制企业、中小企业劳动合同签订、履行的监督检查。积极推行平等协商和集体合同制度，规范劳务派遣企业管理和监督。规范劳动力市场秩序，有针对性地开展对各类用人单位劳动合同签订、工资发放制度的检查，维护进城务工农民工及其他劳动者合法权益、社会保险扩面征徼、禁止使用童工、女职工权益保护、技术工种持证上岗等专项执法监察工作。创新劳动保障监察体制机制，加强劳动监察队伍和执法能力建设，提高劳资纠纷应急指挥平台、网络举报投诉系统和企业用工自主申报平台服务效率，积极推进劳动监察“两网化”和机构效能建设。积极预防和妥善处理劳动维权工作中的热点难点问题，重点做好集体劳动争议处理工作。狠抓调解仲裁工作效能建设，到2</w:t>
      </w:r>
      <w:r>
        <w:t>025</w:t>
      </w:r>
      <w:r>
        <w:rPr>
          <w:rFonts w:hint="eastAsia"/>
        </w:rPr>
        <w:t>年，仲裁结案率不低于95%。</w:t>
      </w:r>
    </w:p>
    <w:bookmarkEnd w:id="38"/>
    <w:p>
      <w:pPr>
        <w:pStyle w:val="2"/>
      </w:pPr>
      <w:bookmarkStart w:id="39" w:name="_Toc85620527"/>
      <w:r>
        <w:rPr>
          <w:rFonts w:hint="eastAsia"/>
        </w:rPr>
        <w:t>五、提升基本公共教育</w:t>
      </w:r>
      <w:bookmarkEnd w:id="39"/>
    </w:p>
    <w:p>
      <w:pPr>
        <w:ind w:firstLine="640"/>
      </w:pPr>
      <w:r>
        <w:rPr>
          <w:rFonts w:hint="eastAsia"/>
        </w:rPr>
        <w:t>全面实现统筹城乡的教育一体化，教育质量居全省中等偏上水平，建成教育强市，基本形成完善的终身教育体系，基本实现教育现代化。到202</w:t>
      </w:r>
      <w:r>
        <w:t>5</w:t>
      </w:r>
      <w:r>
        <w:rPr>
          <w:rFonts w:hint="eastAsia"/>
        </w:rPr>
        <w:t>年，全面普及学前三年教育，全区新增公办幼儿园学位</w:t>
      </w:r>
      <w:r>
        <w:t>16000</w:t>
      </w:r>
      <w:r>
        <w:rPr>
          <w:rFonts w:hint="eastAsia"/>
        </w:rPr>
        <w:t>个，公办幼儿园在园幼儿占比达到</w:t>
      </w:r>
      <w:r>
        <w:t>60%</w:t>
      </w:r>
      <w:r>
        <w:rPr>
          <w:rFonts w:hint="eastAsia"/>
        </w:rPr>
        <w:t>，公办和普惠性民办幼儿园在园幼儿占比达到</w:t>
      </w:r>
      <w:r>
        <w:t>95%</w:t>
      </w:r>
      <w:r>
        <w:rPr>
          <w:rFonts w:hint="eastAsia"/>
        </w:rPr>
        <w:t>以上，学前三年毛入学率达到</w:t>
      </w:r>
      <w:r>
        <w:t>100%</w:t>
      </w:r>
      <w:r>
        <w:rPr>
          <w:rFonts w:hint="eastAsia"/>
        </w:rPr>
        <w:t>。基本实现城乡义务教育均衡发展，小学适龄儿童入学率和五年保留率达到</w:t>
      </w:r>
      <w:r>
        <w:t>100%</w:t>
      </w:r>
      <w:r>
        <w:rPr>
          <w:rFonts w:hint="eastAsia"/>
        </w:rPr>
        <w:t>，九年义务教育巩固率达到</w:t>
      </w:r>
      <w:r>
        <w:t>97%</w:t>
      </w:r>
      <w:r>
        <w:rPr>
          <w:rFonts w:hint="eastAsia"/>
        </w:rPr>
        <w:t>以上，残疾儿童少年接受义务教育比例达到</w:t>
      </w:r>
      <w:r>
        <w:t>99%</w:t>
      </w:r>
      <w:r>
        <w:rPr>
          <w:rFonts w:hint="eastAsia"/>
        </w:rPr>
        <w:t>。全面普及高中阶段教育，教育毛入学率达到</w:t>
      </w:r>
      <w:r>
        <w:t>98%</w:t>
      </w:r>
      <w:r>
        <w:rPr>
          <w:rFonts w:hint="eastAsia"/>
        </w:rPr>
        <w:t>以上，</w:t>
      </w:r>
      <w:r>
        <w:t>60%</w:t>
      </w:r>
      <w:r>
        <w:rPr>
          <w:rFonts w:hint="eastAsia"/>
        </w:rPr>
        <w:t>以上的普通高中达到省一级学校办学标准。实现普通高中多样化特色发展。特殊教育和民办教育健康发展，</w:t>
      </w:r>
      <w:r>
        <w:rPr>
          <w:rFonts w:hint="eastAsia"/>
          <w:szCs w:val="32"/>
        </w:rPr>
        <w:t>到</w:t>
      </w:r>
      <w:r>
        <w:rPr>
          <w:szCs w:val="32"/>
        </w:rPr>
        <w:t>2025</w:t>
      </w:r>
      <w:r>
        <w:rPr>
          <w:rFonts w:hint="eastAsia"/>
          <w:szCs w:val="32"/>
        </w:rPr>
        <w:t>年，残疾儿童少年接受义务教育比例达到</w:t>
      </w:r>
      <w:r>
        <w:rPr>
          <w:szCs w:val="32"/>
        </w:rPr>
        <w:t>99%</w:t>
      </w:r>
      <w:r>
        <w:rPr>
          <w:rFonts w:hint="eastAsia"/>
          <w:szCs w:val="32"/>
        </w:rPr>
        <w:t>。</w:t>
      </w:r>
    </w:p>
    <w:p>
      <w:pPr>
        <w:pStyle w:val="3"/>
      </w:pPr>
      <w:bookmarkStart w:id="40" w:name="_Toc85620528"/>
      <w:bookmarkStart w:id="41" w:name="_Toc12324"/>
      <w:r>
        <w:rPr>
          <w:rFonts w:hint="eastAsia"/>
        </w:rPr>
        <w:t>（一）促进学前教育普惠优质规范发展</w:t>
      </w:r>
      <w:bookmarkEnd w:id="40"/>
    </w:p>
    <w:p>
      <w:pPr>
        <w:ind w:firstLine="640"/>
        <w:rPr>
          <w:sz w:val="30"/>
        </w:rPr>
      </w:pPr>
      <w:r>
        <w:rPr>
          <w:rFonts w:hint="eastAsia"/>
        </w:rPr>
        <w:t>完善幼儿保教体系，加强公办幼儿园学位规划和建设，扩充优质学前资源，根据省“</w:t>
      </w:r>
      <w:r>
        <w:t>5080</w:t>
      </w:r>
      <w:r>
        <w:rPr>
          <w:rFonts w:hint="eastAsia"/>
        </w:rPr>
        <w:t>”目标要求，做好全区</w:t>
      </w:r>
      <w:r>
        <w:t>2021-2025</w:t>
      </w:r>
      <w:r>
        <w:rPr>
          <w:rFonts w:hint="eastAsia"/>
        </w:rPr>
        <w:t>年公办幼儿园学位建设规划，新（改、扩）建</w:t>
      </w:r>
      <w:r>
        <w:t>14</w:t>
      </w:r>
      <w:r>
        <w:rPr>
          <w:rFonts w:hint="eastAsia"/>
        </w:rPr>
        <w:t>所公办幼儿园，加强住宅小区配套幼儿园建设和治理。通过派驻公办教师、培训教师、教研指导等方式，扶持普惠性民办幼儿园发展，切实增加普惠性资源供给。加大学前教育财政投入，调整优化教育支出结构，新增教育经费向学前教育倾斜，完善贫困儿童学前教育资助制度，按照民办幼儿园标准，提高公办园贫困幼儿资助标准。</w:t>
      </w:r>
    </w:p>
    <w:p>
      <w:pPr>
        <w:pStyle w:val="3"/>
      </w:pPr>
      <w:bookmarkStart w:id="42" w:name="_Toc85620529"/>
      <w:r>
        <w:rPr>
          <w:rFonts w:hint="eastAsia"/>
        </w:rPr>
        <w:t>（二）推动义务教育优质均衡发展</w:t>
      </w:r>
      <w:bookmarkEnd w:id="42"/>
    </w:p>
    <w:p>
      <w:pPr>
        <w:ind w:firstLine="640"/>
      </w:pPr>
      <w:r>
        <w:rPr>
          <w:rFonts w:hint="eastAsia"/>
        </w:rPr>
        <w:t>坚持九年义务教育，科学规划中小学校布局及学位建设，编制“十四五”时期中小学校布局和学位建设专项规划，进一步实施学位扩容行动。解决中小学教育用地问题，加快实施</w:t>
      </w:r>
      <w:r>
        <w:t>16</w:t>
      </w:r>
      <w:r>
        <w:rPr>
          <w:rFonts w:hint="eastAsia"/>
        </w:rPr>
        <w:t>所新（改、扩）建义务教育学</w:t>
      </w:r>
      <w:r>
        <w:rPr>
          <w:rFonts w:hint="eastAsia" w:ascii="仿宋" w:hAnsi="仿宋"/>
        </w:rPr>
        <w:t>校</w:t>
      </w:r>
      <w:r>
        <w:rPr>
          <w:rFonts w:hint="eastAsia" w:ascii="仿宋" w:hAnsi="仿宋"/>
          <w:szCs w:val="32"/>
        </w:rPr>
        <w:t>建设项目，</w:t>
      </w:r>
      <w:r>
        <w:rPr>
          <w:rFonts w:hint="eastAsia"/>
        </w:rPr>
        <w:t>积极稳妥推进“麻雀学校”撤并工作。有效</w:t>
      </w:r>
      <w:r>
        <w:rPr>
          <w:rFonts w:ascii="Arial" w:hAnsi="Arial" w:cs="Arial"/>
          <w:shd w:val="clear" w:color="auto" w:fill="FFFFFF"/>
        </w:rPr>
        <w:t>落实</w:t>
      </w:r>
      <w:r>
        <w:rPr>
          <w:rFonts w:ascii="仿宋" w:hAnsi="仿宋" w:cs="Arial"/>
          <w:shd w:val="clear" w:color="auto" w:fill="FFFFFF"/>
        </w:rPr>
        <w:t>"双减"</w:t>
      </w:r>
      <w:r>
        <w:rPr>
          <w:rFonts w:ascii="Arial" w:hAnsi="Arial" w:cs="Arial"/>
          <w:shd w:val="clear" w:color="auto" w:fill="FFFFFF"/>
        </w:rPr>
        <w:t>政策，提高教学质量</w:t>
      </w:r>
      <w:r>
        <w:rPr>
          <w:rFonts w:hint="eastAsia" w:ascii="Arial" w:hAnsi="Arial" w:cs="Arial"/>
          <w:shd w:val="clear" w:color="auto" w:fill="FFFFFF"/>
        </w:rPr>
        <w:t>、效率</w:t>
      </w:r>
      <w:r>
        <w:rPr>
          <w:rFonts w:ascii="Arial" w:hAnsi="Arial" w:cs="Arial"/>
          <w:shd w:val="clear" w:color="auto" w:fill="FFFFFF"/>
        </w:rPr>
        <w:t>，减轻学生作业负担</w:t>
      </w:r>
      <w:r>
        <w:rPr>
          <w:rFonts w:hint="eastAsia" w:ascii="Arial" w:hAnsi="Arial" w:cs="Arial"/>
          <w:shd w:val="clear" w:color="auto" w:fill="FFFFFF"/>
        </w:rPr>
        <w:t>。</w:t>
      </w:r>
      <w:r>
        <w:rPr>
          <w:rFonts w:hint="eastAsia"/>
        </w:rPr>
        <w:t>至</w:t>
      </w:r>
      <w:r>
        <w:t>2025</w:t>
      </w:r>
      <w:r>
        <w:rPr>
          <w:rFonts w:hint="eastAsia"/>
        </w:rPr>
        <w:t>年，全区新建初中2所，改扩建初中</w:t>
      </w:r>
      <w:r>
        <w:t>2</w:t>
      </w:r>
      <w:r>
        <w:rPr>
          <w:rFonts w:hint="eastAsia"/>
        </w:rPr>
        <w:t>所，新建小学6所，改扩建小学</w:t>
      </w:r>
      <w:r>
        <w:t>6</w:t>
      </w:r>
      <w:r>
        <w:rPr>
          <w:rFonts w:hint="eastAsia"/>
        </w:rPr>
        <w:t>所，撤并“麻雀学校”1</w:t>
      </w:r>
      <w:r>
        <w:t>2</w:t>
      </w:r>
      <w:r>
        <w:rPr>
          <w:rFonts w:hint="eastAsia"/>
        </w:rPr>
        <w:t>所，新增公办义务教育学校学位</w:t>
      </w:r>
      <w:r>
        <w:t>14000</w:t>
      </w:r>
      <w:r>
        <w:rPr>
          <w:rFonts w:hint="eastAsia"/>
        </w:rPr>
        <w:t>个。</w:t>
      </w:r>
    </w:p>
    <w:p>
      <w:pPr>
        <w:pStyle w:val="3"/>
      </w:pPr>
      <w:bookmarkStart w:id="43" w:name="_Toc85620530"/>
      <w:r>
        <w:rPr>
          <w:rFonts w:hint="eastAsia"/>
        </w:rPr>
        <w:t>（三）高水平高质量普及高中阶段教育</w:t>
      </w:r>
      <w:bookmarkEnd w:id="43"/>
    </w:p>
    <w:p>
      <w:pPr>
        <w:ind w:firstLine="640"/>
      </w:pPr>
      <w:r>
        <w:rPr>
          <w:rFonts w:hint="eastAsia"/>
        </w:rPr>
        <w:t>全面实施“分类推进、促优提质”工程，优化高中学校办学条件，推进高中学校内涵和特色发展，建设一批区域示范高中。全面实施扩校建校和校舍改造提升工程，同步提升教育装备水平。建立健全与教育事业发展相适应的教职员编制标准动态调整机制，加快补充紧缺学科教师。提高教育经费投入，完善高中学校改造提升经费保障机制，形成拨款标准动态调整机制。至</w:t>
      </w:r>
      <w:r>
        <w:t>2025</w:t>
      </w:r>
      <w:r>
        <w:rPr>
          <w:rFonts w:hint="eastAsia"/>
        </w:rPr>
        <w:t>年，揭东一中、揭东二中、揭东三中打造成粤东名校，揭东三中、蓝田中学、梅岗中学、白塔中学、才林中学、光正实验学校达到省一级学校办学标准，云路中学、蓝田中学、白塔中学分别打造成东部、北部、西部片区中心高中，现代职校达到省级重点办学标准，全区高中阶段教育普及水平和高考质量跃居全市前列。</w:t>
      </w:r>
    </w:p>
    <w:tbl>
      <w:tblPr>
        <w:tblStyle w:val="23"/>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黑体" w:hAnsi="黑体" w:eastAsia="黑体" w:cs="黑体"/>
                <w:b/>
                <w:bCs/>
                <w:sz w:val="24"/>
                <w:szCs w:val="24"/>
              </w:rPr>
            </w:pPr>
            <w:r>
              <w:rPr>
                <w:rFonts w:hint="eastAsia" w:ascii="黑体" w:hAnsi="黑体" w:eastAsia="黑体" w:cs="黑体"/>
                <w:b/>
                <w:bCs/>
                <w:sz w:val="24"/>
                <w:szCs w:val="24"/>
              </w:rPr>
              <w:t>专栏</w:t>
            </w:r>
            <w:r>
              <w:rPr>
                <w:rFonts w:ascii="黑体" w:hAnsi="黑体" w:eastAsia="黑体" w:cs="黑体"/>
                <w:b/>
                <w:bCs/>
                <w:sz w:val="24"/>
                <w:szCs w:val="24"/>
              </w:rPr>
              <w:t>3</w:t>
            </w:r>
            <w:r>
              <w:rPr>
                <w:rFonts w:hint="eastAsia" w:ascii="黑体" w:hAnsi="黑体" w:eastAsia="黑体" w:cs="黑体"/>
                <w:b/>
                <w:bCs/>
                <w:sz w:val="24"/>
                <w:szCs w:val="24"/>
              </w:rPr>
              <w:t xml:space="preserve"> 揭东区教育建设重点工程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before="93" w:beforeLines="30" w:after="93" w:afterLines="30" w:line="360" w:lineRule="exact"/>
              <w:ind w:left="64" w:leftChars="20" w:right="64" w:rightChars="20" w:firstLine="480"/>
              <w:rPr>
                <w:rFonts w:ascii="楷体" w:hAnsi="楷体" w:eastAsia="楷体" w:cs="楷体"/>
                <w:sz w:val="24"/>
                <w:szCs w:val="24"/>
              </w:rPr>
            </w:pPr>
            <w:r>
              <w:rPr>
                <w:rFonts w:hint="eastAsia" w:ascii="楷体" w:hAnsi="楷体" w:eastAsia="楷体" w:cs="楷体"/>
                <w:sz w:val="24"/>
                <w:szCs w:val="24"/>
              </w:rPr>
              <w:t>揭东第一初级中学、白塔中学、梅岗初级中学、揭东区第十小学、14所公办幼儿园新建项目，立德学校扩建项目。</w:t>
            </w:r>
          </w:p>
        </w:tc>
      </w:tr>
    </w:tbl>
    <w:p>
      <w:pPr>
        <w:pStyle w:val="3"/>
      </w:pPr>
      <w:bookmarkStart w:id="44" w:name="_Toc85620531"/>
      <w:r>
        <w:rPr>
          <w:rFonts w:hint="eastAsia"/>
        </w:rPr>
        <w:t>（四）大力发展特殊教育</w:t>
      </w:r>
      <w:bookmarkEnd w:id="44"/>
    </w:p>
    <w:p>
      <w:pPr>
        <w:ind w:firstLine="640"/>
        <w:rPr>
          <w:sz w:val="30"/>
          <w:szCs w:val="32"/>
        </w:rPr>
      </w:pPr>
      <w:r>
        <w:rPr>
          <w:rFonts w:hint="eastAsia"/>
        </w:rPr>
        <w:t>落实特殊教育经费投入，推动实施残疾学生</w:t>
      </w:r>
      <w:r>
        <w:t>15</w:t>
      </w:r>
      <w:r>
        <w:rPr>
          <w:rFonts w:hint="eastAsia"/>
        </w:rPr>
        <w:t>年免费教育，实施特殊教育提升计划及后续行动，积极发展残疾儿童学前教育，大力发展以职业教育为主的残疾人高中阶段教育。</w:t>
      </w:r>
      <w:r>
        <w:rPr>
          <w:rFonts w:hint="eastAsia"/>
          <w:szCs w:val="32"/>
        </w:rPr>
        <w:t>加强特殊教育基础能力建设，大力推进标准化特殊教育学校建设、残疾人中等职业教育基地建设，加快学前特殊教育机构建设，完善残疾学生随班就读服务体系。探索开展特殊教育课程改革；积极开展特殊教育教学模式、教学策略和方法改革，加强个别化教育，增强教育的针对性和有效性，提高特殊教育教学质量。</w:t>
      </w:r>
    </w:p>
    <w:tbl>
      <w:tblPr>
        <w:tblStyle w:val="23"/>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黑体" w:hAnsi="黑体" w:eastAsia="黑体" w:cs="黑体"/>
                <w:b/>
                <w:bCs/>
                <w:sz w:val="24"/>
                <w:szCs w:val="24"/>
              </w:rPr>
            </w:pPr>
            <w:r>
              <w:rPr>
                <w:rFonts w:hint="eastAsia" w:ascii="黑体" w:hAnsi="黑体" w:eastAsia="黑体" w:cs="黑体"/>
                <w:b/>
                <w:bCs/>
                <w:sz w:val="24"/>
                <w:szCs w:val="24"/>
              </w:rPr>
              <w:t>专栏</w:t>
            </w:r>
            <w:r>
              <w:rPr>
                <w:rFonts w:ascii="黑体" w:hAnsi="黑体" w:eastAsia="黑体" w:cs="黑体"/>
                <w:b/>
                <w:bCs/>
                <w:sz w:val="24"/>
                <w:szCs w:val="24"/>
              </w:rPr>
              <w:t>4</w:t>
            </w:r>
            <w:r>
              <w:rPr>
                <w:rFonts w:hint="eastAsia" w:ascii="黑体" w:hAnsi="黑体" w:eastAsia="黑体" w:cs="黑体"/>
                <w:b/>
                <w:bCs/>
                <w:sz w:val="24"/>
                <w:szCs w:val="24"/>
              </w:rPr>
              <w:t xml:space="preserve"> 揭东科教小区教育综合体项目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before="93" w:beforeLines="30" w:after="93" w:afterLines="30" w:line="360" w:lineRule="exact"/>
              <w:ind w:left="64" w:leftChars="20" w:right="64" w:rightChars="20" w:firstLine="480"/>
              <w:rPr>
                <w:rFonts w:ascii="楷体" w:hAnsi="楷体" w:eastAsia="楷体"/>
                <w:sz w:val="24"/>
                <w:szCs w:val="16"/>
              </w:rPr>
            </w:pPr>
            <w:r>
              <w:rPr>
                <w:rFonts w:hint="eastAsia"/>
                <w:sz w:val="24"/>
                <w:szCs w:val="16"/>
              </w:rPr>
              <w:drawing>
                <wp:anchor distT="0" distB="0" distL="114300" distR="114300" simplePos="0" relativeHeight="251659264" behindDoc="0" locked="0" layoutInCell="1" allowOverlap="1">
                  <wp:simplePos x="0" y="0"/>
                  <wp:positionH relativeFrom="column">
                    <wp:posOffset>2559685</wp:posOffset>
                  </wp:positionH>
                  <wp:positionV relativeFrom="paragraph">
                    <wp:posOffset>-170180</wp:posOffset>
                  </wp:positionV>
                  <wp:extent cx="2423795" cy="256413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23795" cy="2564130"/>
                          </a:xfrm>
                          <a:prstGeom prst="rect">
                            <a:avLst/>
                          </a:prstGeom>
                          <a:noFill/>
                        </pic:spPr>
                      </pic:pic>
                    </a:graphicData>
                  </a:graphic>
                </wp:anchor>
              </w:drawing>
            </w:r>
            <w:r>
              <w:rPr>
                <w:rFonts w:hint="eastAsia" w:ascii="楷体" w:hAnsi="楷体" w:eastAsia="楷体"/>
                <w:sz w:val="24"/>
                <w:szCs w:val="16"/>
              </w:rPr>
              <w:t>依托教育资源优势，构建“基础教育、学前教育、职业教育、个性化教育”全产业链，打造立足揭阳、面向粤东，集科普宣传、教育培训、文化休闲、城市服务、生态居住等功能于一体的宜居宜业宜学宜游科教产业集聚区。</w:t>
            </w:r>
          </w:p>
          <w:p>
            <w:pPr>
              <w:spacing w:before="93" w:beforeLines="30" w:after="93" w:afterLines="30" w:line="360" w:lineRule="exact"/>
              <w:ind w:left="64" w:leftChars="20" w:right="64" w:rightChars="20" w:firstLine="480"/>
              <w:rPr>
                <w:sz w:val="24"/>
                <w:szCs w:val="16"/>
              </w:rPr>
            </w:pPr>
            <w:r>
              <w:rPr>
                <w:rFonts w:hint="eastAsia" w:ascii="楷体" w:hAnsi="楷体" w:eastAsia="楷体"/>
                <w:sz w:val="24"/>
                <w:szCs w:val="16"/>
              </w:rPr>
              <w:t>总体布局：双心，即科教核心、商业中心；三园，即体育公园、科教公园和街头公园；多区，即校区、住宅、商业区、村集中发展区。</w:t>
            </w:r>
          </w:p>
        </w:tc>
      </w:tr>
    </w:tbl>
    <w:p>
      <w:pPr>
        <w:pStyle w:val="3"/>
      </w:pPr>
      <w:bookmarkStart w:id="45" w:name="_Toc85620532"/>
      <w:r>
        <w:rPr>
          <w:rFonts w:hint="eastAsia"/>
        </w:rPr>
        <w:t>（五）推动学校德育示范区建设</w:t>
      </w:r>
      <w:bookmarkEnd w:id="45"/>
    </w:p>
    <w:p>
      <w:pPr>
        <w:spacing w:line="580" w:lineRule="exact"/>
        <w:ind w:firstLine="640"/>
        <w:rPr>
          <w:rFonts w:ascii="仿宋" w:hAnsi="仿宋" w:cs="仿宋"/>
          <w:szCs w:val="32"/>
        </w:rPr>
      </w:pPr>
      <w:r>
        <w:rPr>
          <w:rFonts w:hint="eastAsia" w:ascii="仿宋" w:hAnsi="仿宋" w:cs="仿宋"/>
          <w:szCs w:val="32"/>
        </w:rPr>
        <w:t>进一步落实立德树人根本任务，不断增强中小学德育工作的时代性、科学性、实效性。以培育和践行社会主义核心价值观为核心内容，继续深入开展文明校园创建工作，把理想信念教育、社会主义核心价值观教育、中华优秀传统文化教育、生态文明教育、心理健康教育等融入学校工作全过程。深入开展法治教育，不断提高广大青少年学生的法律素质，在校生的违法犯罪率控制为零。建设一批中小学校示范性德育基地。</w:t>
      </w:r>
    </w:p>
    <w:p>
      <w:pPr>
        <w:pStyle w:val="3"/>
      </w:pPr>
      <w:bookmarkStart w:id="46" w:name="_Toc85620533"/>
      <w:r>
        <w:rPr>
          <w:rFonts w:hint="eastAsia"/>
        </w:rPr>
        <w:t>（六）加强教育信息化建设</w:t>
      </w:r>
      <w:bookmarkEnd w:id="46"/>
    </w:p>
    <w:p>
      <w:pPr>
        <w:ind w:firstLine="640"/>
      </w:pPr>
      <w:r>
        <w:rPr>
          <w:rFonts w:hint="eastAsia"/>
        </w:rPr>
        <w:t>完善教育信息化管理机制，加强对教育信息化基础设施建设运行管理，促进优质教育资源普及共享，强化信息技术运用，提升教师运用现代化教育设施设备水平，增强学生利用信息手段学习能力。加大对教学仪器设备及教育信息化设备、计算机和校园安防设施的投入。加强教育信息化标准和制度研究，建立健全教育信息化标准体系，对网络建设、资源建设及培训和应用等提出科学的量化指标。</w:t>
      </w:r>
    </w:p>
    <w:bookmarkEnd w:id="41"/>
    <w:p>
      <w:pPr>
        <w:pStyle w:val="2"/>
      </w:pPr>
      <w:bookmarkStart w:id="47" w:name="_Toc85620534"/>
      <w:bookmarkStart w:id="48" w:name="_Toc64966217"/>
      <w:r>
        <w:rPr>
          <w:rFonts w:hint="eastAsia"/>
        </w:rPr>
        <w:t>六、完善基本社会保险</w:t>
      </w:r>
      <w:bookmarkEnd w:id="47"/>
    </w:p>
    <w:p>
      <w:pPr>
        <w:ind w:firstLine="640"/>
      </w:pPr>
      <w:r>
        <w:rPr>
          <w:rFonts w:hint="eastAsia"/>
        </w:rPr>
        <w:t>实现城乡居民基本养老、医疗保险制度全覆盖，保障标准持续提高，不断完善人民生活有保障的社会保障体系，建设和谐揭东。到202</w:t>
      </w:r>
      <w:r>
        <w:t>5</w:t>
      </w:r>
      <w:r>
        <w:rPr>
          <w:rFonts w:hint="eastAsia"/>
        </w:rPr>
        <w:t>年，城乡居民基本养老保险实现应保尽保，基本养老保险参保率9</w:t>
      </w:r>
      <w:r>
        <w:t>5</w:t>
      </w:r>
      <w:r>
        <w:rPr>
          <w:rFonts w:hint="eastAsia"/>
        </w:rPr>
        <w:t>%以上，基本医疗保险覆盖率达到9</w:t>
      </w:r>
      <w:r>
        <w:t>5</w:t>
      </w:r>
      <w:r>
        <w:rPr>
          <w:rFonts w:hint="eastAsia"/>
        </w:rPr>
        <w:t>%。社会保险管理和经办水平、保障能力不断提高。实现基本社会保险均等化，保障各类群体基本生活需求。</w:t>
      </w:r>
    </w:p>
    <w:p>
      <w:pPr>
        <w:pStyle w:val="3"/>
      </w:pPr>
      <w:bookmarkStart w:id="49" w:name="_Toc85620535"/>
      <w:r>
        <w:rPr>
          <w:rFonts w:hint="eastAsia"/>
        </w:rPr>
        <w:t>（一）完善社会保险制度和政策体系</w:t>
      </w:r>
      <w:bookmarkEnd w:id="49"/>
    </w:p>
    <w:p>
      <w:pPr>
        <w:ind w:firstLine="640"/>
      </w:pPr>
      <w:r>
        <w:rPr>
          <w:rFonts w:hint="eastAsia"/>
        </w:rPr>
        <w:t>鼓励积极参保、持续参保完善社会统筹与个人账户相结合的职工基本养老保险制度和个人账户制度，积极做好基础养老金统筹工作。落实社保制度改革，继续组织落实好我区机关事业单位养老保险制度改革，做好职业年金启动建立后的管理工作，做好新老制度衔接，实现平稳过渡。完善社会保险转移接续政策，建立更加便捷的社会保险转移接续机制。</w:t>
      </w:r>
    </w:p>
    <w:p>
      <w:pPr>
        <w:pStyle w:val="3"/>
      </w:pPr>
      <w:bookmarkStart w:id="50" w:name="_Toc85620536"/>
      <w:r>
        <w:rPr>
          <w:rFonts w:hint="eastAsia"/>
        </w:rPr>
        <w:t>（二）不断扩大社会保险覆盖面</w:t>
      </w:r>
      <w:bookmarkEnd w:id="50"/>
    </w:p>
    <w:p>
      <w:pPr>
        <w:ind w:firstLine="640"/>
      </w:pPr>
      <w:r>
        <w:rPr>
          <w:rFonts w:hint="eastAsia"/>
        </w:rPr>
        <w:t>坚持全覆盖、保基本、可持续方针，以保障人民群众基本生活和基本医疗需求为重点，以非公有制、灵活就业人员参加社会保险为突破口，不断扩大城乡居民基本养老、医疗和失业、工伤、生育保险覆盖面。积极推动“全民参保登记计划”实施，加快数据库建设，实现社会保险制度全覆盖。不断扩大职工养老保险覆盖面，加强基金征缴。深入做好农民工、灵活就业人员参加职工养老保险、城乡居民养老保险和基本医疗保险工作。重点抓好非公有制经济从业人员参加失业保险工作，将更多的劳动者纳入失业保险覆盖范围，切实解决进城务工人员的后顾之忧。落实城乡用人单位和职工的工伤保险制度，做好农民工、私营企业、商贸餐饮服务员为重点的人群和行业参保工作。完善生育保险办法，合理确定生育保险筹资比例，提高生育保险统筹层次，党政事业单位全部纳入生育保险参保范围，推进民营企业生育保险扩面工作。</w:t>
      </w:r>
    </w:p>
    <w:p>
      <w:pPr>
        <w:pStyle w:val="3"/>
      </w:pPr>
      <w:bookmarkStart w:id="51" w:name="_Toc85620537"/>
      <w:r>
        <w:rPr>
          <w:rFonts w:hint="eastAsia"/>
        </w:rPr>
        <w:t>（三）不断提高社会保险管理经办水平</w:t>
      </w:r>
      <w:bookmarkEnd w:id="51"/>
    </w:p>
    <w:p>
      <w:pPr>
        <w:ind w:firstLine="640"/>
      </w:pPr>
      <w:r>
        <w:rPr>
          <w:rFonts w:hint="eastAsia"/>
        </w:rPr>
        <w:t>切实加强社会保险管理经办基础设施建设，以基层为重点，以提升服务平台建设为突破口，提升管理和服务效率。建立更加便民快捷的服务体系，提升社会保障规范化、信息化、专业化水平，逐步建立覆盖城乡居民的各项社会保险一网登记制度。继续推进“社会保障卡”发放工作，实现参保人员“记录一生、保障一生、服务一生”的目标。加快推进社会保险管理服务社会化，加强街道、社区的社会保障平台建设。</w:t>
      </w:r>
    </w:p>
    <w:p>
      <w:pPr>
        <w:pStyle w:val="2"/>
      </w:pPr>
      <w:bookmarkStart w:id="52" w:name="_Toc85620538"/>
      <w:r>
        <w:rPr>
          <w:rFonts w:hint="eastAsia"/>
        </w:rPr>
        <w:t>七、强化基本卫生健康服务</w:t>
      </w:r>
      <w:bookmarkEnd w:id="52"/>
    </w:p>
    <w:p>
      <w:pPr>
        <w:ind w:firstLine="640"/>
      </w:pPr>
      <w:r>
        <w:t>加快补齐医疗卫生事业短板，提升</w:t>
      </w:r>
      <w:r>
        <w:rPr>
          <w:rFonts w:hint="eastAsia"/>
        </w:rPr>
        <w:t>区</w:t>
      </w:r>
      <w:r>
        <w:t>镇村</w:t>
      </w:r>
      <w:r>
        <w:rPr>
          <w:rFonts w:hint="eastAsia"/>
        </w:rPr>
        <w:t>三</w:t>
      </w:r>
      <w:r>
        <w:t>级医疗卫生服务能力，构建强大公共卫生服务体系</w:t>
      </w:r>
      <w:r>
        <w:rPr>
          <w:rFonts w:hint="eastAsia"/>
        </w:rPr>
        <w:t>。到202</w:t>
      </w:r>
      <w:r>
        <w:t>5</w:t>
      </w:r>
      <w:r>
        <w:rPr>
          <w:rFonts w:hint="eastAsia"/>
        </w:rPr>
        <w:t>年，健康揭东行动取得显著成效，人均预期寿命提高到79岁，千人口执业（助理）医师数</w:t>
      </w:r>
      <w:r>
        <w:rPr>
          <w:rFonts w:hint="eastAsia"/>
          <w:lang w:val="en-US" w:eastAsia="zh-CN"/>
        </w:rPr>
        <w:t>2.4</w:t>
      </w:r>
      <w:r>
        <w:rPr>
          <w:rFonts w:hint="eastAsia"/>
        </w:rPr>
        <w:t>人，万人口全科医生数2人，群众看病难看病贵问题基本解决，完善的分级诊疗制度全面建立，争取基本实现家庭医生鉴约服务制度的全覆盖，人人享有基本医疗卫生服务，人民群众主要健康指标达到或超过全省平均水平，为全区人民提供良好的人口环境和健康保障。</w:t>
      </w:r>
    </w:p>
    <w:p>
      <w:pPr>
        <w:pStyle w:val="3"/>
      </w:pPr>
      <w:bookmarkStart w:id="53" w:name="_Toc85620539"/>
      <w:r>
        <w:rPr>
          <w:rFonts w:hint="eastAsia"/>
        </w:rPr>
        <w:t>（一）完善医疗卫生服务体系</w:t>
      </w:r>
      <w:bookmarkEnd w:id="53"/>
      <w:bookmarkStart w:id="54" w:name="_Toc48920532"/>
      <w:bookmarkStart w:id="55" w:name="_Toc48140161"/>
      <w:bookmarkStart w:id="56" w:name="_Toc47444333"/>
    </w:p>
    <w:p>
      <w:pPr>
        <w:ind w:firstLine="640"/>
        <w:rPr>
          <w:sz w:val="30"/>
        </w:rPr>
      </w:pPr>
      <w:r>
        <w:rPr>
          <w:rFonts w:hint="eastAsia"/>
          <w:szCs w:val="22"/>
        </w:rPr>
        <w:t>加强和完善支撑体系建设</w:t>
      </w:r>
      <w:bookmarkEnd w:id="54"/>
      <w:bookmarkEnd w:id="55"/>
      <w:bookmarkEnd w:id="56"/>
      <w:r>
        <w:rPr>
          <w:rFonts w:hint="eastAsia"/>
          <w:szCs w:val="22"/>
        </w:rPr>
        <w:t>，实施创优行动计划，推动区人民医院升三甲，第二人民医院建设特色专科；推进镇级卫生院标准化建设工程和村级的公建卫生站规范化建设工程等项目建设。加强医疗卫生队伍建设，健全医疗卫生人才引进、培养、提升机制，适当倾斜支持区中医院、区妇幼保健计生服务中心补充紧缺的医务人员，完善人才梯队结构。选派优秀中青年医生、技师、护师到省级、国家级医院进修学习，全面提升诊疗服务能力。加快医疗卫生信息系统平台建设，完善医疗卫生云服务平台建设，建立覆盖常住人口的健康档案信息。扎实推进紧密型“医联体”“医共体”建设，提升医疗服务水平。到</w:t>
      </w:r>
      <w:r>
        <w:rPr>
          <w:szCs w:val="22"/>
        </w:rPr>
        <w:t>2023</w:t>
      </w:r>
      <w:r>
        <w:rPr>
          <w:rFonts w:hint="eastAsia"/>
          <w:szCs w:val="22"/>
        </w:rPr>
        <w:t>年底，建成功能健全、运行高效、服务优质的医共体，基层医疗卫生服务能力明显得到增强。</w:t>
      </w:r>
    </w:p>
    <w:p>
      <w:pPr>
        <w:pStyle w:val="3"/>
      </w:pPr>
      <w:bookmarkStart w:id="57" w:name="_Toc48920531"/>
      <w:bookmarkStart w:id="58" w:name="_Toc47444332"/>
      <w:bookmarkStart w:id="59" w:name="_Toc48140160"/>
      <w:bookmarkStart w:id="60" w:name="_Toc85620540"/>
      <w:r>
        <w:rPr>
          <w:rFonts w:hint="eastAsia"/>
        </w:rPr>
        <w:t>（二）推进公共卫生服务均等化</w:t>
      </w:r>
      <w:bookmarkEnd w:id="57"/>
      <w:bookmarkEnd w:id="58"/>
      <w:bookmarkEnd w:id="59"/>
      <w:bookmarkEnd w:id="60"/>
      <w:bookmarkStart w:id="61" w:name="_Toc48920533"/>
      <w:bookmarkStart w:id="62" w:name="_Toc47444334"/>
      <w:bookmarkStart w:id="63" w:name="_Toc48140162"/>
    </w:p>
    <w:p>
      <w:pPr>
        <w:ind w:firstLine="640"/>
        <w:rPr>
          <w:shd w:val="clear" w:color="auto" w:fill="FFFFFF"/>
        </w:rPr>
      </w:pPr>
      <w:r>
        <w:rPr>
          <w:rFonts w:hint="eastAsia"/>
          <w:shd w:val="clear" w:color="auto" w:fill="FFFFFF"/>
        </w:rPr>
        <w:t>大力推进家庭医生式服务工作，把基本公共卫生服务项目做实、做细、做深，让老百姓享受到更优质的医疗卫生服务。合理拓展建立居民健康档案、健康教育、预防接种、儿童保健、孕产妇保健、老年人保健等基本公共卫生服务项目，制定和实施主要传染病、慢性病、地方病、职业病等严重威胁重点人群的重大公共卫生服务项目。探索以镇卫生院统筹管理乡村医生，大力培养基层公共卫生技术人才和管理人才。以实施乡村振兴战略为契机，推进乡镇卫生院和村卫生站能力建设，大力实施健康镇村、健康家庭示范建设，提高基层卫生服务能力。</w:t>
      </w:r>
    </w:p>
    <w:p>
      <w:pPr>
        <w:pStyle w:val="3"/>
      </w:pPr>
      <w:bookmarkStart w:id="64" w:name="_Toc85620541"/>
      <w:r>
        <w:rPr>
          <w:rFonts w:hint="eastAsia"/>
        </w:rPr>
        <w:t>（三）加强中医药事业发展</w:t>
      </w:r>
      <w:bookmarkEnd w:id="61"/>
      <w:bookmarkEnd w:id="62"/>
      <w:bookmarkEnd w:id="63"/>
      <w:bookmarkEnd w:id="64"/>
    </w:p>
    <w:p>
      <w:pPr>
        <w:ind w:firstLine="640"/>
      </w:pPr>
      <w:r>
        <w:rPr>
          <w:rFonts w:hint="eastAsia"/>
        </w:rPr>
        <w:t>深入贯彻落实国家推进中医药传承创新会议和实施“中医药强国”“中医药强省”发展战略等精神。制定扶持中医药发展的政策措施，加大中医药事业专项投入，创造良好的发展环境。全面实施名院、名科、名医和名药的发展战略，加快中医重点专科建设。以区中医院为龙头，加快相关配套设施建设，完善中医药服务功能，强化基层中医药服务能力和服务网络建设，大力推进“治未病”健康工程，强化涵盖预防、治疗康复、保健、养生的中医药服务体系建设。建立健全中医药人才选育机制，推进中医药文化传承，提高中医药人才队伍素质，培育一批区级中医领军人才，宣传推广传统中医治疗技术。加强中医药科技创新，提高中医药服务能力。</w:t>
      </w:r>
    </w:p>
    <w:tbl>
      <w:tblPr>
        <w:tblStyle w:val="22"/>
        <w:tblW w:w="856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firstLine="0" w:firstLineChars="0"/>
              <w:jc w:val="center"/>
              <w:rPr>
                <w:rFonts w:ascii="宋体" w:hAnsi="宋体" w:eastAsia="仿宋_GB2312"/>
                <w:b/>
                <w:bCs/>
                <w:sz w:val="24"/>
                <w:szCs w:val="24"/>
              </w:rPr>
            </w:pPr>
            <w:r>
              <w:rPr>
                <w:rFonts w:hint="eastAsia" w:ascii="黑体" w:hAnsi="黑体" w:eastAsia="黑体" w:cs="黑体"/>
                <w:b/>
                <w:bCs/>
                <w:sz w:val="24"/>
                <w:szCs w:val="24"/>
              </w:rPr>
              <w:t>专栏</w:t>
            </w:r>
            <w:r>
              <w:rPr>
                <w:rFonts w:ascii="黑体" w:hAnsi="黑体" w:eastAsia="黑体" w:cs="黑体"/>
                <w:b/>
                <w:bCs/>
                <w:sz w:val="24"/>
                <w:szCs w:val="24"/>
              </w:rPr>
              <w:t>5</w:t>
            </w:r>
            <w:r>
              <w:rPr>
                <w:rFonts w:hint="eastAsia" w:ascii="黑体" w:hAnsi="黑体" w:eastAsia="黑体" w:cs="黑体"/>
                <w:b/>
                <w:bCs/>
                <w:sz w:val="24"/>
                <w:szCs w:val="24"/>
              </w:rPr>
              <w:t xml:space="preserve"> 医疗卫生事业重点工程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5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ind w:firstLine="480"/>
              <w:rPr>
                <w:rFonts w:ascii="楷体" w:hAnsi="楷体" w:eastAsia="楷体" w:cs="楷体"/>
                <w:sz w:val="24"/>
              </w:rPr>
            </w:pPr>
            <w:r>
              <w:rPr>
                <w:rFonts w:hint="eastAsia" w:ascii="楷体" w:hAnsi="楷体" w:eastAsia="楷体" w:cs="楷体"/>
                <w:sz w:val="24"/>
              </w:rPr>
              <w:t>揭阳市揭东区人民医院（揭阳市第二人民医院）传染科楼建设工程、揭阳市揭东区锡场镇卫生院（揭阳市揭东区第二人民医院）扩建工程、揭阳产业园基层社区医疗服务站标准化建设工程、揭阳市揭东区中医医院建设工程内部装修配套项目。</w:t>
            </w:r>
          </w:p>
        </w:tc>
      </w:tr>
    </w:tbl>
    <w:p>
      <w:pPr>
        <w:pStyle w:val="3"/>
        <w:rPr>
          <w:shd w:val="clear" w:color="auto" w:fill="FFFFFF"/>
        </w:rPr>
      </w:pPr>
      <w:bookmarkStart w:id="65" w:name="_Toc85620542"/>
      <w:r>
        <w:rPr>
          <w:rFonts w:hint="eastAsia"/>
          <w:shd w:val="clear" w:color="auto" w:fill="FFFFFF"/>
        </w:rPr>
        <w:t>（四）广泛开展全民健身运动</w:t>
      </w:r>
      <w:bookmarkEnd w:id="65"/>
    </w:p>
    <w:p>
      <w:pPr>
        <w:ind w:firstLine="640"/>
        <w:rPr>
          <w:sz w:val="30"/>
        </w:rPr>
      </w:pPr>
      <w:r>
        <w:rPr>
          <w:rFonts w:hint="eastAsia"/>
        </w:rPr>
        <w:t>探索打造区级体育服务综合体，完善区、镇（街道）、村（社区）三级体育设施，推动企事业单位体育设施分时开放，规划建设体育馆，加快足球场地建设。结合揭东生态及山水人文特色，打造户外休闲特色体育承载地，重点开展徒步运动、自行车运动等户外休闲运动项目，发展足球、篮球、排球等群体性运动项目，扶持壮大青少年体育事业发展，提供满足居民开展多类专项体育运动的设施场地。</w:t>
      </w:r>
    </w:p>
    <w:p>
      <w:pPr>
        <w:pStyle w:val="3"/>
      </w:pPr>
      <w:bookmarkStart w:id="66" w:name="_Toc85620543"/>
      <w:r>
        <w:rPr>
          <w:rFonts w:hint="eastAsia"/>
        </w:rPr>
        <w:t>（五）全方位全周期保障公共卫生安全</w:t>
      </w:r>
      <w:bookmarkEnd w:id="66"/>
    </w:p>
    <w:p>
      <w:pPr>
        <w:ind w:firstLine="640"/>
      </w:pPr>
      <w:r>
        <w:rPr>
          <w:rFonts w:hint="eastAsia"/>
        </w:rPr>
        <w:t>坚定不移贯彻预防为主方针，坚持防治结合、联防联控、群防群控，建立健全公共卫生事业投入机制，健全区、镇、村三级疾病预防控制体系，加强疾病预防控制机构建设，增强早期监测预警能力、快速检测能力、应急处置能力、综合救治能力。深入开展爱国卫生运动，建立健全健康教育制度，强化重点人群和重大疾病综合防控，从源头上预防和控制重大疾病，实现从以治病为中心转向以健康为中心。全面提升突发公共卫生事件处置能力，加快推进区人民医院传染科楼建设，规划建设负压病房和隔离病房并配套相应设备，进一步加强区人民医院、区疾控中心和区第二人民医院核酸实验室建设，切实增强传染病检测救治能力；加强各基层医疗卫生机构发热门诊和预防接种门诊的规范化建设，全面提升传染病防控能力。健全疾病监测和疫情信息报告制度，提高疫情防控和风险分析能力。进一步健全区卫生应急指挥决策系统和流行病学风险评估体系，完善疾病监测预警系统，强化卫生应急演练和应急物资储备。</w:t>
      </w:r>
    </w:p>
    <w:p>
      <w:pPr>
        <w:pStyle w:val="3"/>
      </w:pPr>
      <w:bookmarkStart w:id="67" w:name="_Toc85620544"/>
      <w:r>
        <w:rPr>
          <w:rFonts w:hint="eastAsia"/>
        </w:rPr>
        <w:t>（六）切实保障食品药品安全</w:t>
      </w:r>
      <w:bookmarkEnd w:id="67"/>
    </w:p>
    <w:p>
      <w:pPr>
        <w:ind w:firstLine="640"/>
      </w:pPr>
      <w:r>
        <w:rPr>
          <w:rFonts w:hint="eastAsia"/>
        </w:rPr>
        <w:t>强化落实食品药品安全法规制度，加大监管体系能力建设力度，提高安全标准，健全检验检测体系，全面落实企业产品质量安全主体责任，对重点生产经营单位、重点产品提高监督检查频次和抽样检测覆盖面。根据国家、省、市总体安排，建立并完善食品药品质量安全追溯体系。实施药品集中采购，推进药品连锁配送设施和网络建设，完善以国家基本药物制度为基础的药品供应保障体系。巩固基本药物制度实施效果，推动医疗机构优先使用基本药物。加大农村食品药品安全治理力度，完善对网络销售食品药品的监管。</w:t>
      </w:r>
    </w:p>
    <w:p>
      <w:pPr>
        <w:pStyle w:val="2"/>
      </w:pPr>
      <w:bookmarkStart w:id="68" w:name="_Toc85620545"/>
      <w:r>
        <w:rPr>
          <w:rFonts w:hint="eastAsia"/>
        </w:rPr>
        <w:t>八、提升基本住房保障</w:t>
      </w:r>
      <w:bookmarkEnd w:id="68"/>
    </w:p>
    <w:p>
      <w:pPr>
        <w:ind w:firstLine="640"/>
        <w:rPr>
          <w:rFonts w:ascii="仿宋" w:hAnsi="仿宋" w:cs="宋体"/>
          <w:kern w:val="0"/>
          <w:szCs w:val="32"/>
        </w:rPr>
      </w:pPr>
      <w:r>
        <w:rPr>
          <w:rFonts w:hint="eastAsia" w:ascii="仿宋" w:hAnsi="仿宋" w:cs="宋体"/>
          <w:kern w:val="0"/>
          <w:szCs w:val="32"/>
        </w:rPr>
        <w:t>进一步提高保障房建成率，逐步、逐批实施保障，逐步满足城乡居民基本住房需求，</w:t>
      </w:r>
      <w:r>
        <w:rPr>
          <w:rFonts w:hint="eastAsia"/>
        </w:rPr>
        <w:t>建立以公共租赁住房为主的可持续、能循环、多层次的住房保障体系。</w:t>
      </w:r>
      <w:r>
        <w:rPr>
          <w:rFonts w:hint="eastAsia" w:ascii="仿宋" w:hAnsi="仿宋" w:cs="宋体"/>
          <w:kern w:val="0"/>
          <w:szCs w:val="32"/>
        </w:rPr>
        <w:t>进一步加快“三旧”改造、农村住房条件提升，筑牢农村低收入群体住房安全保障。</w:t>
      </w:r>
    </w:p>
    <w:p>
      <w:pPr>
        <w:pStyle w:val="3"/>
      </w:pPr>
      <w:bookmarkStart w:id="69" w:name="_Toc85620546"/>
      <w:r>
        <w:rPr>
          <w:rFonts w:hint="eastAsia"/>
        </w:rPr>
        <w:t>（一）完善住房保障体系</w:t>
      </w:r>
      <w:bookmarkEnd w:id="69"/>
    </w:p>
    <w:p>
      <w:pPr>
        <w:ind w:firstLine="640"/>
      </w:pPr>
      <w:r>
        <w:rPr>
          <w:rFonts w:hint="eastAsia"/>
        </w:rPr>
        <w:t>重点解决低收入家庭住房困难问题，建立保障性住房建设资金和用地保障机制。落实保障性安居工程税收规费减免等优惠政策，加强与金融机构协调，鼓励商业银行加大对符合条件的保障性安居工程建设项目的信贷支持力度。坚持市场配置和政府保障相结合，加大保障性住房建设力度，鼓励社会资本参与保障性住房建设。通过政府新建、收购、改建、配建以及社会捐赠等途径，增加保障性住房供应。优化保障性住房和商品住房的供应比例，</w:t>
      </w:r>
      <w:bookmarkStart w:id="70" w:name="_Hlk81821119"/>
      <w:r>
        <w:rPr>
          <w:rFonts w:hint="eastAsia"/>
        </w:rPr>
        <w:t>建立以公共租赁住房为主的可持续、能循环、多层次的住房保障体系</w:t>
      </w:r>
      <w:bookmarkEnd w:id="70"/>
      <w:r>
        <w:rPr>
          <w:rFonts w:hint="eastAsia"/>
        </w:rPr>
        <w:t>。</w:t>
      </w:r>
    </w:p>
    <w:p>
      <w:pPr>
        <w:pStyle w:val="3"/>
      </w:pPr>
      <w:bookmarkStart w:id="71" w:name="_Toc85620547"/>
      <w:r>
        <w:rPr>
          <w:rFonts w:hint="eastAsia"/>
        </w:rPr>
        <w:t>（二）推进“三旧”改造</w:t>
      </w:r>
      <w:bookmarkEnd w:id="71"/>
    </w:p>
    <w:p>
      <w:pPr>
        <w:ind w:firstLine="640"/>
      </w:pPr>
      <w:r>
        <w:rPr>
          <w:rFonts w:hint="eastAsia"/>
        </w:rPr>
        <w:t>完善“三旧”改造地区周边交通学校、医院、商业服务配套设施，进一步提升居住水平和生活环境质量，促进当地社会经济增长，盘活土地资源。支持运用5G、大数据、云计算等技术，深化智慧城市建设、提升社会治理水平，有效解决重点区域交通拥堵及“停车难”问题，提高市民停车便捷度。</w:t>
      </w:r>
    </w:p>
    <w:p>
      <w:pPr>
        <w:pStyle w:val="3"/>
      </w:pPr>
      <w:bookmarkStart w:id="72" w:name="_Toc85620548"/>
      <w:r>
        <w:rPr>
          <w:rFonts w:hint="eastAsia"/>
        </w:rPr>
        <w:t>（三）提升农村住房条件</w:t>
      </w:r>
      <w:bookmarkEnd w:id="72"/>
    </w:p>
    <w:p>
      <w:pPr>
        <w:ind w:firstLine="640"/>
      </w:pPr>
      <w:r>
        <w:t>进一步规范全区农村建房秩序，切实加强农房建设管控，推进生态宜居美丽乡村建设。</w:t>
      </w:r>
      <w:r>
        <w:rPr>
          <w:rFonts w:hint="eastAsia"/>
        </w:rPr>
        <w:t>加强削坡建房风险点和边坡风险等级排查和整治，基本消除存在重大边坡安全风险的削坡建房存量，扭转削坡建房风险隐患突发多发的势头。持续推进农村危房改造，加强对农村危房动态排查，有针对性采取强有力的措施，切实提高农村危房改造质量安全水平。巩固拓展脱贫攻坚成果，逐步建立健全农村低收入群体住房安全保障长效机制。</w:t>
      </w:r>
    </w:p>
    <w:p>
      <w:pPr>
        <w:pStyle w:val="2"/>
      </w:pPr>
      <w:bookmarkStart w:id="73" w:name="_Toc85620549"/>
      <w:r>
        <w:rPr>
          <w:rFonts w:hint="eastAsia"/>
        </w:rPr>
        <w:t>九、健全基本社会服务</w:t>
      </w:r>
      <w:bookmarkEnd w:id="73"/>
    </w:p>
    <w:p>
      <w:pPr>
        <w:widowControl/>
        <w:shd w:val="clear" w:color="auto" w:fill="FFFFFF"/>
        <w:wordWrap w:val="0"/>
        <w:adjustRightInd/>
        <w:snapToGrid/>
        <w:spacing w:line="450" w:lineRule="atLeast"/>
        <w:ind w:firstLine="640"/>
      </w:pPr>
      <w:r>
        <w:rPr>
          <w:rFonts w:hint="eastAsia"/>
        </w:rPr>
        <w:t>基本社会服务发展的总体目标是构建制度更加完善、体系更加健全、覆盖更加广泛、功能更加强大，与经济社会发展水平相适应的现代化基本社会服务体系。到20</w:t>
      </w:r>
      <w:r>
        <w:t>25</w:t>
      </w:r>
      <w:r>
        <w:rPr>
          <w:rFonts w:hint="eastAsia"/>
        </w:rPr>
        <w:t>年，社会救助体系进一步完善，养老服务质量和水平提升，每千名老年人拥有养老床位数达到40张以上；着力提升残疾人、退役军人、妇女儿童、青年等社会服务水平。</w:t>
      </w:r>
    </w:p>
    <w:p>
      <w:pPr>
        <w:pStyle w:val="3"/>
      </w:pPr>
      <w:bookmarkStart w:id="74" w:name="_Toc85620550"/>
      <w:bookmarkStart w:id="75" w:name="_Toc48920542"/>
      <w:bookmarkStart w:id="76" w:name="_Toc48140171"/>
      <w:bookmarkStart w:id="77" w:name="_Toc47444343"/>
      <w:r>
        <w:rPr>
          <w:rFonts w:hint="eastAsia"/>
        </w:rPr>
        <w:t>（一）</w:t>
      </w:r>
      <w:r>
        <w:t>保障妇女儿童合法权益</w:t>
      </w:r>
      <w:bookmarkEnd w:id="74"/>
    </w:p>
    <w:p>
      <w:pPr>
        <w:ind w:firstLine="640"/>
      </w:pPr>
      <w:r>
        <w:rPr>
          <w:rFonts w:hint="eastAsia"/>
        </w:rPr>
        <w:t>组织开展《妇女权益保障法》《未成年人保护法》《反家庭暴力法》的宣传，贯彻男女平等基本国策，全方位优化妇女发展环境，进一步提高广大妇女儿童自我保护意识和维护合法权益的能力。关爱儿童健康成长，加强儿童思想道德教育和劳动教育，保障儿童生存、发展、受保护和参与权利，全面提升儿童综合素质。</w:t>
      </w:r>
    </w:p>
    <w:p>
      <w:pPr>
        <w:pStyle w:val="3"/>
      </w:pPr>
      <w:bookmarkStart w:id="78" w:name="_Toc85620551"/>
      <w:r>
        <w:rPr>
          <w:rFonts w:hint="eastAsia"/>
        </w:rPr>
        <w:t>（二）</w:t>
      </w:r>
      <w:r>
        <w:t>开创青年事业发展新局面</w:t>
      </w:r>
      <w:bookmarkEnd w:id="78"/>
    </w:p>
    <w:p>
      <w:pPr>
        <w:ind w:firstLine="640"/>
      </w:pPr>
      <w:r>
        <w:rPr>
          <w:rFonts w:hint="eastAsia"/>
        </w:rPr>
        <w:t>深入贯彻实施《揭阳中长期青年发展规划（</w:t>
      </w:r>
      <w:r>
        <w:t>2020-2025</w:t>
      </w:r>
      <w:r>
        <w:rPr>
          <w:rFonts w:hint="eastAsia"/>
        </w:rPr>
        <w:t>年）》，聚焦青年思想道德、教育、健康、婚恋、就业与创新创业、文化、社会融入与社会参与、权益与预防犯罪以及社会保障等领域，优化青年成长环境，服务青年紧迫需求，维护青年发展权益，促进青年全面发展，着力培养担当民族复兴大任的时代新人。</w:t>
      </w:r>
    </w:p>
    <w:p>
      <w:pPr>
        <w:pStyle w:val="3"/>
      </w:pPr>
      <w:bookmarkStart w:id="79" w:name="_Toc85620552"/>
      <w:r>
        <w:rPr>
          <w:rFonts w:hint="eastAsia"/>
        </w:rPr>
        <w:t>（三）健</w:t>
      </w:r>
      <w:r>
        <w:t>全退役军人工作体系和保障制度</w:t>
      </w:r>
      <w:bookmarkEnd w:id="79"/>
    </w:p>
    <w:p>
      <w:pPr>
        <w:ind w:firstLine="640"/>
      </w:pPr>
      <w:r>
        <w:rPr>
          <w:rFonts w:hint="eastAsia"/>
        </w:rPr>
        <w:t>落实国家有关政策和遵照中华人民共和国退役军人保障法，在保障退役军人享受普惠性政策和公共服务基础上，重点做好退役军人安置、教育培训、就业创业、抚恤优待、褒扬激励工作。对伤残军人特殊贫困群体制定特惠政策，推进区光荣院建设。做好烈士纪念设施管理维护工作，完善落实烈士纪念设施规划建设修缮管理维护工作制度，对未列入县（区）级以上管理保护的零散烈士纪念设施，有条件的申报列入县（区）级管理保护，达不到条件的，逐一落实保护责任单位和责任人，加强日常管护，建立定期巡查制度。</w:t>
      </w:r>
    </w:p>
    <w:p>
      <w:pPr>
        <w:pStyle w:val="3"/>
      </w:pPr>
      <w:bookmarkStart w:id="80" w:name="_Toc85620553"/>
      <w:r>
        <w:rPr>
          <w:rFonts w:hint="eastAsia"/>
        </w:rPr>
        <w:t>（四）积极发展残疾人基本公共服务</w:t>
      </w:r>
      <w:bookmarkEnd w:id="80"/>
    </w:p>
    <w:p>
      <w:pPr>
        <w:ind w:firstLine="643"/>
      </w:pPr>
      <w:r>
        <w:rPr>
          <w:rFonts w:hint="eastAsia" w:ascii="楷体" w:hAnsi="楷体" w:eastAsia="楷体"/>
          <w:b/>
        </w:rPr>
        <w:t>强化残疾人保障体系与服务体系建设。</w:t>
      </w:r>
      <w:r>
        <w:rPr>
          <w:rFonts w:hint="eastAsia"/>
        </w:rPr>
        <w:t>逐步提高残疾人的生活、护理补贴标准和康复、教育、就业救助标准并扩大补贴和救助范围，逐步提升残疾人的康复、教育、就业、维权、宣文体的服务能力。加大困难残疾人帮扶力度，落实监护缺失困境残疾人走访探视工作制度，通过落实定期访视、分类照顾、专项服务等措施，加强监护缺失困境残疾人救助帮扶和关爱服务工作，维护残疾人合法权益。进一步完善残疾人综合服务设施建设，重点加快完善区级残疾人康复、托养设施，推动残疾人服务设施建设规模与服务需求规模相适应。争取中央、省、市财政资金对我区残疾人服务设施建设予以支持。继续推进残疾人宣文体工作，加大对残疾人体育运动员的选拔、集训和组织参加广东省第九届残运会。争取培养一批残疾人文化创意基地。加强残疾人基层组织建设，争取每个村（社区）建立残协组织。</w:t>
      </w:r>
    </w:p>
    <w:p>
      <w:pPr>
        <w:ind w:firstLine="643"/>
        <w:rPr>
          <w:rFonts w:ascii="仿宋" w:hAnsi="仿宋" w:cs="宋体"/>
          <w:bCs/>
          <w:szCs w:val="32"/>
        </w:rPr>
      </w:pPr>
      <w:r>
        <w:rPr>
          <w:rFonts w:hint="eastAsia" w:ascii="楷体" w:hAnsi="楷体" w:eastAsia="楷体" w:cs="宋体"/>
          <w:b/>
          <w:bCs/>
          <w:szCs w:val="32"/>
        </w:rPr>
        <w:t>完善残疾人社会救助力度与福利补贴制度。</w:t>
      </w:r>
      <w:r>
        <w:rPr>
          <w:rFonts w:hint="eastAsia" w:ascii="仿宋" w:hAnsi="仿宋" w:cs="宋体"/>
          <w:bCs/>
          <w:szCs w:val="32"/>
        </w:rPr>
        <w:t>加强残疾人基本民生保障和基本医疗康复保障，加大残疾人社会救助力度。加强残疾人基础设施和康复托养机构建设，将残疾人专业服务设施、无障碍设施改造等纳入为民办实事项目。积极建立残疾人福利补贴制度，整合残疾人共享小康工程相关政策，建立完善残疾人生活、护理、康复、社会保险、公共交通等补贴制度，并实行补贴标准的动态调整。全面推进福利企业依法管理，落实福利企业支持政策，加强福利企业监督，保障残疾人职工合法权益。</w:t>
      </w:r>
    </w:p>
    <w:p>
      <w:pPr>
        <w:pStyle w:val="3"/>
      </w:pPr>
      <w:bookmarkStart w:id="81" w:name="_Toc85620554"/>
      <w:r>
        <w:rPr>
          <w:rFonts w:hint="eastAsia"/>
        </w:rPr>
        <w:t>（五）</w:t>
      </w:r>
      <w:r>
        <w:t>完善新型社会救助体系</w:t>
      </w:r>
      <w:bookmarkEnd w:id="75"/>
      <w:bookmarkEnd w:id="76"/>
      <w:bookmarkEnd w:id="77"/>
      <w:bookmarkEnd w:id="81"/>
    </w:p>
    <w:p>
      <w:pPr>
        <w:ind w:firstLine="640"/>
      </w:pPr>
      <w:r>
        <w:rPr>
          <w:rFonts w:hint="eastAsia"/>
        </w:rPr>
        <w:t>提高城乡居民最低生活保障人员、特困人员、孤儿、残疾人等底线民生保障水平。健全农村留守儿童和妇女、老年人关爱服务体系，加大孤儿、困境儿童、失能和特困老年人的保障力度。完善落实残疾人社会救助政策，保障困难残疾人的基本生活。坚持精细化操作、精准化救助，进一步做好流浪乞讨人员救助管理工作，持续开展救助管理和托养机构安全隐患排查整治，确保各项救助制度公开公平公正实施。有序推进社会救助制度城乡统筹，着力打造基层社会救助综合服务平台，推行“互联网</w:t>
      </w:r>
      <w:r>
        <w:t>+</w:t>
      </w:r>
      <w:r>
        <w:rPr>
          <w:rFonts w:hint="eastAsia"/>
        </w:rPr>
        <w:t>救助”进一步完善政府购买社会救助服务政策措施，实施兜底民生服务社会工作双百工程。</w:t>
      </w:r>
    </w:p>
    <w:p>
      <w:pPr>
        <w:pStyle w:val="3"/>
      </w:pPr>
      <w:bookmarkStart w:id="82" w:name="_Toc48920543"/>
      <w:bookmarkStart w:id="83" w:name="_Toc85620555"/>
      <w:bookmarkStart w:id="84" w:name="_Toc48140172"/>
      <w:bookmarkStart w:id="85" w:name="_Toc47444344"/>
      <w:r>
        <w:rPr>
          <w:rFonts w:hint="eastAsia"/>
        </w:rPr>
        <w:t>（六）</w:t>
      </w:r>
      <w:r>
        <w:t>推进社会福利事业发展</w:t>
      </w:r>
      <w:bookmarkEnd w:id="82"/>
      <w:bookmarkEnd w:id="83"/>
      <w:bookmarkEnd w:id="84"/>
      <w:bookmarkEnd w:id="85"/>
    </w:p>
    <w:p>
      <w:pPr>
        <w:ind w:firstLine="640"/>
      </w:pPr>
      <w:r>
        <w:rPr>
          <w:rFonts w:hint="eastAsia"/>
        </w:rPr>
        <w:t>落实关于未成年人、</w:t>
      </w:r>
      <w:r>
        <w:rPr>
          <w:rFonts w:hint="eastAsia"/>
          <w:szCs w:val="22"/>
        </w:rPr>
        <w:t>事实</w:t>
      </w:r>
      <w:r>
        <w:rPr>
          <w:rFonts w:hint="eastAsia"/>
        </w:rPr>
        <w:t>无人抚养儿童、困境儿童监护等政策法规，完善揭东区儿童福利院配套服务，支持专业社工和社会力量提供关爱服务，严厉打击拐卖儿童等侵犯儿童权益的行为，保障孤儿、留守儿童、困境儿童等特殊人群权益。推进揭东区区域性敬老院建设，根据实际需要，推进白塔镇玉新益康疗养院等镇级养老机构改扩建工程。加快发展居家社区养老服务，不断提高服务便利化水平。积极推进养老服务社会化，构建以居家养老为基础、社区养老为依托、机构养老为补充的多层次养老服务体系。鼓励社会力量举办医养结合机构，重点加强基层养老托幼服务，完善我区养老服务体系。</w:t>
      </w:r>
    </w:p>
    <w:p>
      <w:pPr>
        <w:pStyle w:val="2"/>
      </w:pPr>
      <w:bookmarkStart w:id="86" w:name="_Toc85620556"/>
      <w:r>
        <w:rPr>
          <w:rFonts w:hint="eastAsia"/>
        </w:rPr>
        <w:t>十、丰富基本公共文化体育</w:t>
      </w:r>
      <w:bookmarkEnd w:id="86"/>
    </w:p>
    <w:p>
      <w:pPr>
        <w:ind w:firstLine="640"/>
      </w:pPr>
      <w:r>
        <w:rPr>
          <w:rFonts w:hint="eastAsia"/>
        </w:rPr>
        <w:t>“十四五”期间，积极扩大基本公共文化体育服务供给，均衡各项服务发展，逐步建立起现代化的公共文化体育设施网络体系，推动公共文化体育服务向“广覆盖、高效能”转变，实现基本公共文化体育服务体系标准化、均等化。</w:t>
      </w:r>
    </w:p>
    <w:p>
      <w:pPr>
        <w:pStyle w:val="3"/>
      </w:pPr>
      <w:bookmarkStart w:id="87" w:name="_Toc64733351"/>
      <w:bookmarkStart w:id="88" w:name="_Toc85620557"/>
      <w:bookmarkStart w:id="89" w:name="_Toc23905"/>
      <w:r>
        <w:rPr>
          <w:rFonts w:hint="eastAsia"/>
        </w:rPr>
        <w:t>（一）大力提高社会文明程度</w:t>
      </w:r>
      <w:bookmarkEnd w:id="87"/>
      <w:bookmarkEnd w:id="88"/>
      <w:bookmarkEnd w:id="89"/>
    </w:p>
    <w:p>
      <w:pPr>
        <w:ind w:firstLine="643"/>
      </w:pPr>
      <w:r>
        <w:rPr>
          <w:rFonts w:hint="eastAsia" w:ascii="楷体" w:hAnsi="楷体" w:eastAsia="楷体"/>
          <w:b/>
          <w:bCs/>
        </w:rPr>
        <w:t>培育</w:t>
      </w:r>
      <w:r>
        <w:rPr>
          <w:rFonts w:hint="eastAsia" w:ascii="楷体" w:hAnsi="楷体" w:eastAsia="楷体"/>
          <w:b/>
          <w:bCs/>
          <w:lang w:val="en-US" w:eastAsia="zh-CN"/>
        </w:rPr>
        <w:t>和践行</w:t>
      </w:r>
      <w:bookmarkStart w:id="128" w:name="_GoBack"/>
      <w:bookmarkEnd w:id="128"/>
      <w:r>
        <w:rPr>
          <w:rFonts w:hint="eastAsia" w:ascii="楷体" w:hAnsi="楷体" w:eastAsia="楷体"/>
          <w:b/>
          <w:bCs/>
        </w:rPr>
        <w:t>社会主义核心价值观。</w:t>
      </w:r>
      <w:r>
        <w:rPr>
          <w:rFonts w:hint="eastAsia"/>
        </w:rPr>
        <w:t>深入实施习近平新时代中国特色社会主义思想传播工程，从中小学教育入手，强化宣传、教育、文化、档案、工青妇等部门行业齐抓共管，培育践行社会主义核心价值观。深化党史、新中国史、改革开放史、社会主义发展史学习教育。加强“贤德揭东人”评选宣传，推进公民道德建设走深走实，构建服务全民终身学习的教育体系，全面提升人民文明素质。</w:t>
      </w:r>
    </w:p>
    <w:p>
      <w:pPr>
        <w:ind w:firstLine="643"/>
      </w:pPr>
      <w:r>
        <w:rPr>
          <w:rFonts w:hint="eastAsia" w:ascii="楷体" w:hAnsi="楷体" w:eastAsia="楷体"/>
          <w:b/>
          <w:bCs/>
        </w:rPr>
        <w:t>加快实施文明创建工程。</w:t>
      </w:r>
      <w:r>
        <w:rPr>
          <w:rFonts w:hint="eastAsia"/>
        </w:rPr>
        <w:t>自觉承担起举旗帜、聚民心、育新人、兴文化、展形象的使命任务，坚持教育引导、实践养成、制度保障三管齐下。高标准推进新时代文明实践中心建设，打造融合多种功能于一体的基层综合服务平台。整合资源推进融媒体中心建设，加强网络文明建设和网络空间治理。健全志愿服务体系，广泛开展志愿服务关爱行动。</w:t>
      </w:r>
    </w:p>
    <w:p>
      <w:pPr>
        <w:ind w:firstLine="643"/>
      </w:pPr>
      <w:r>
        <w:rPr>
          <w:rFonts w:hint="eastAsia" w:ascii="楷体" w:hAnsi="楷体" w:eastAsia="楷体"/>
          <w:b/>
          <w:bCs/>
        </w:rPr>
        <w:t>加强思想文化阵地建设。</w:t>
      </w:r>
      <w:r>
        <w:rPr>
          <w:rFonts w:hint="eastAsia"/>
        </w:rPr>
        <w:t>加强群众性思想政治工作，健全人文关怀和心理疏导机制。广泛开展文明村镇、文明户、文明家庭等群众性精神文明创建活动，打通宣传群众、教育群众、关心群众、服务群众“最后一公里”。到</w:t>
      </w:r>
      <w:r>
        <w:t>2022</w:t>
      </w:r>
      <w:r>
        <w:rPr>
          <w:rFonts w:hint="eastAsia"/>
        </w:rPr>
        <w:t>年，全区文明村镇覆盖面达</w:t>
      </w:r>
      <w:r>
        <w:t>100%</w:t>
      </w:r>
      <w:r>
        <w:rPr>
          <w:rFonts w:hint="eastAsia"/>
        </w:rPr>
        <w:t>。完善文化科技卫生“三下乡”长效机制，丰富群众精神文化生活。</w:t>
      </w:r>
    </w:p>
    <w:p>
      <w:pPr>
        <w:ind w:firstLine="643"/>
      </w:pPr>
      <w:r>
        <w:rPr>
          <w:rFonts w:hint="eastAsia" w:ascii="楷体" w:hAnsi="楷体" w:eastAsia="楷体"/>
          <w:b/>
          <w:bCs/>
        </w:rPr>
        <w:t>实施公民道德建设工程。</w:t>
      </w:r>
      <w:r>
        <w:rPr>
          <w:rFonts w:hint="eastAsia"/>
        </w:rPr>
        <w:t>弘扬诚信文化，推进诚信建设，倡导诚信道德规范，推进社会公德、职业道德、家庭美德、个人品德建设。加强家庭、家教、家风建设，弘扬中华孝道，强化孝敬父母、尊敬长辈的社会风尚。提倡艰苦奋斗、勤俭节约，开展以劳动创造幸福为主题的宣传教育。</w:t>
      </w:r>
    </w:p>
    <w:p>
      <w:pPr>
        <w:pStyle w:val="3"/>
      </w:pPr>
      <w:bookmarkStart w:id="90" w:name="_Toc85620558"/>
      <w:bookmarkStart w:id="91" w:name="_Toc64733352"/>
      <w:bookmarkStart w:id="92" w:name="_Toc12571"/>
      <w:r>
        <w:rPr>
          <w:rFonts w:hint="eastAsia"/>
        </w:rPr>
        <w:t>（二）推动文化事业繁荣发展</w:t>
      </w:r>
      <w:bookmarkEnd w:id="90"/>
      <w:bookmarkEnd w:id="91"/>
      <w:bookmarkEnd w:id="92"/>
    </w:p>
    <w:p>
      <w:pPr>
        <w:ind w:firstLine="643"/>
      </w:pPr>
      <w:r>
        <w:rPr>
          <w:rFonts w:hint="eastAsia" w:ascii="楷体" w:hAnsi="楷体" w:eastAsia="楷体"/>
          <w:b/>
          <w:bCs/>
        </w:rPr>
        <w:t>实施文化设施提升工程。</w:t>
      </w:r>
      <w:r>
        <w:rPr>
          <w:rFonts w:hint="eastAsia"/>
        </w:rPr>
        <w:t>深入推进文化馆图书馆总分馆制建设，完善提升以区文化馆图书馆为总馆、镇（街道）综合文化站为分馆、村（社区）综合性文化活动中心为服务点的总分馆制服务体系。完善体育设施建设，促进体育事业发展。配齐配强区文化馆、图书馆、博物馆和乡镇综合文化站专业人员。强化村级文体协管员、文化管理员的业务培训和指导。进一步完善文化服务志愿者队伍和群众文化辅导员队伍。</w:t>
      </w:r>
    </w:p>
    <w:p>
      <w:pPr>
        <w:ind w:firstLine="643"/>
      </w:pPr>
      <w:r>
        <w:rPr>
          <w:rFonts w:hint="eastAsia" w:ascii="楷体" w:hAnsi="楷体" w:eastAsia="楷体"/>
          <w:b/>
          <w:bCs/>
        </w:rPr>
        <w:t>深入开展文化实践行动。</w:t>
      </w:r>
      <w:r>
        <w:rPr>
          <w:rFonts w:hint="eastAsia"/>
        </w:rPr>
        <w:t>组织镇（街道）文化站、村（社区）综合性文化服务中心、人民广场等各类文化阵地常态化开展活动，丰富群众业余生活。支持演艺团体发展，加强文化艺术交流与创作，实施文艺作品质量提升工程，加强现实题材创作生产，不断推出反映时代新气象、讴歌人民新创造的文艺作品。</w:t>
      </w:r>
    </w:p>
    <w:p>
      <w:pPr>
        <w:ind w:firstLine="643"/>
      </w:pPr>
      <w:r>
        <w:rPr>
          <w:rFonts w:hint="eastAsia" w:ascii="楷体" w:hAnsi="楷体" w:eastAsia="楷体"/>
          <w:b/>
          <w:bCs/>
        </w:rPr>
        <w:t>推进传统文化保护利用。</w:t>
      </w:r>
      <w:r>
        <w:rPr>
          <w:rFonts w:hint="eastAsia"/>
        </w:rPr>
        <w:t>加强国家级非物质文化遗产、“龙砂江氏祖庙”和“百鸟朝凤”古民居等市级文物保护单位、曲溪老市老石街等的保护。依托汾水战役纪念公园、潮揭丰边人民委员会旧址、黄旭华院士旧居、蔡翘院士博物馆、梅冈书院、蓝田书院等，打造具有红色文化、名人文化、历史文化特色的文化高地。通过对曲溪老市老石街的整治，打造文化购物街与人民广场、港畔村古村落和万竹园连成一个集休闲、娱乐、历史文化观光、美食、购物于一体的中部城区文化旅游产业圈，提升城区的文化层次。</w:t>
      </w:r>
    </w:p>
    <w:p>
      <w:pPr>
        <w:ind w:firstLine="643"/>
      </w:pPr>
      <w:r>
        <w:rPr>
          <w:rFonts w:hint="eastAsia" w:ascii="楷体" w:hAnsi="楷体" w:eastAsia="楷体"/>
          <w:b/>
          <w:bCs/>
        </w:rPr>
        <w:t>创新文旅体综合服务发展模式。</w:t>
      </w:r>
      <w:r>
        <w:rPr>
          <w:rFonts w:hint="eastAsia"/>
        </w:rPr>
        <w:t>推进媒体深度融合，落实全媒体传播工程。做强新型主流媒体。抓好服务效能提升试点推进，为解决基层公共文化服务“最后一公里”问题打造样板。突出体育健康主题、强化产业支撑带动，用足用活各级体育产业政策，积极开发户外徒步、攀岩滑索、器械赛事、汽车和自行车越野、马拉松赛等户外旅游新业态，促进体育</w:t>
      </w:r>
      <w:r>
        <w:t>+</w:t>
      </w:r>
      <w:r>
        <w:rPr>
          <w:rFonts w:hint="eastAsia"/>
        </w:rPr>
        <w:t>文化</w:t>
      </w:r>
      <w:r>
        <w:t>+</w:t>
      </w:r>
      <w:r>
        <w:rPr>
          <w:rFonts w:hint="eastAsia"/>
        </w:rPr>
        <w:t>旅游</w:t>
      </w:r>
      <w:r>
        <w:t>+</w:t>
      </w:r>
      <w:r>
        <w:rPr>
          <w:rFonts w:hint="eastAsia"/>
        </w:rPr>
        <w:t>健康的深度融合。</w:t>
      </w:r>
    </w:p>
    <w:p>
      <w:pPr>
        <w:pStyle w:val="3"/>
      </w:pPr>
      <w:bookmarkStart w:id="93" w:name="_Toc85620559"/>
      <w:bookmarkStart w:id="94" w:name="_Toc14142"/>
      <w:bookmarkStart w:id="95" w:name="_Toc64733353"/>
      <w:r>
        <w:rPr>
          <w:rFonts w:hint="eastAsia"/>
        </w:rPr>
        <w:t>（三）着力培育特色文化产业</w:t>
      </w:r>
      <w:bookmarkEnd w:id="93"/>
      <w:bookmarkEnd w:id="94"/>
      <w:bookmarkEnd w:id="95"/>
    </w:p>
    <w:p>
      <w:pPr>
        <w:adjustRightInd/>
        <w:snapToGrid/>
        <w:spacing w:line="560" w:lineRule="exact"/>
        <w:ind w:firstLine="643"/>
        <w:rPr>
          <w:szCs w:val="32"/>
        </w:rPr>
      </w:pPr>
      <w:r>
        <w:rPr>
          <w:rFonts w:hint="eastAsia" w:ascii="楷体" w:hAnsi="楷体" w:eastAsia="楷体"/>
          <w:b/>
          <w:bCs/>
          <w:szCs w:val="32"/>
        </w:rPr>
        <w:t>挖掘优势文化产业。</w:t>
      </w:r>
      <w:r>
        <w:rPr>
          <w:rFonts w:hint="eastAsia"/>
          <w:szCs w:val="32"/>
        </w:rPr>
        <w:t>加强规划引导、典型示范，深入挖掘传统村落、历史经典、红色文化、民俗传说、农耕体验等乡村文化资源禀赋，培养乡土文化本土人才，培育手工艺、生态文化旅游、民间工艺制作、歌舞技艺表演等特色文化产业和创意产品，打造揭东乡村文化品牌。实施传统工艺振兴计划，以龙舟制造和锡器、石茶盘、金桔油、冬菜制作等非遗项目为重点，培育形成具有地域特色的传统工艺产品，促进传统工艺提高品质、形成品牌、带动就业。积极开发我区传统节日文化用品和“竖灯杆·升彩凤”、锣鼓标旗巡游、赛龙舟、“出花园”等民间艺术和民俗表演项目，促进文化资源与现代消费需求有效对接。</w:t>
      </w:r>
    </w:p>
    <w:p>
      <w:pPr>
        <w:adjustRightInd/>
        <w:snapToGrid/>
        <w:spacing w:line="560" w:lineRule="exact"/>
        <w:ind w:firstLine="643"/>
        <w:rPr>
          <w:szCs w:val="32"/>
        </w:rPr>
      </w:pPr>
      <w:r>
        <w:rPr>
          <w:rFonts w:hint="eastAsia" w:ascii="楷体" w:hAnsi="楷体" w:eastAsia="楷体"/>
          <w:b/>
          <w:bCs/>
          <w:szCs w:val="32"/>
        </w:rPr>
        <w:t>推动文化产业融合发展。</w:t>
      </w:r>
      <w:r>
        <w:rPr>
          <w:rFonts w:hint="eastAsia"/>
          <w:szCs w:val="32"/>
        </w:rPr>
        <w:t>推动乡村文化产业与互联网、科技深度融合，支持文化创意企业入驻乡村，开发文化创意产品。鼓励和引导规模企业和民间资本投资乡村特色文化产业，打造一批特色文化产业乡镇、文化产业特色村和文化产业集群，建设一批特色鲜明、优势突出的潮汕优秀农耕文化产业展示区。</w:t>
      </w:r>
    </w:p>
    <w:p>
      <w:pPr>
        <w:adjustRightInd/>
        <w:snapToGrid/>
        <w:spacing w:line="560" w:lineRule="exact"/>
        <w:ind w:firstLine="643"/>
        <w:rPr>
          <w:szCs w:val="32"/>
        </w:rPr>
      </w:pPr>
      <w:r>
        <w:rPr>
          <w:rFonts w:hint="eastAsia" w:ascii="楷体" w:hAnsi="楷体" w:eastAsia="楷体"/>
          <w:b/>
          <w:bCs/>
          <w:szCs w:val="32"/>
        </w:rPr>
        <w:t>增加公共文化产品和服务供给。</w:t>
      </w:r>
      <w:r>
        <w:rPr>
          <w:rFonts w:hint="eastAsia"/>
          <w:szCs w:val="32"/>
        </w:rPr>
        <w:t>深入推进文化惠民，为农村地区提供更多更好的公共文化产品和服务。建立群众文化需求反馈机制，推动政府向社会购买公共文化服务，开展“菜单式”“订单式”服务。推动优秀潮汕文化遗产传承保护和合理适度利用，支持“三农”题材文艺创作生产，鼓励文艺工作者推出反映农民生产生活的优秀文艺作品，展示新时代农村农民的精神风貌。</w:t>
      </w:r>
    </w:p>
    <w:tbl>
      <w:tblPr>
        <w:tblStyle w:val="43"/>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5" w:type="dxa"/>
            <w:tcBorders>
              <w:top w:val="single" w:color="auto" w:sz="4" w:space="0"/>
              <w:left w:val="single" w:color="auto" w:sz="4" w:space="0"/>
              <w:bottom w:val="single" w:color="auto" w:sz="4" w:space="0"/>
              <w:right w:val="single" w:color="auto" w:sz="4" w:space="0"/>
            </w:tcBorders>
          </w:tcPr>
          <w:p>
            <w:pPr>
              <w:adjustRightInd/>
              <w:snapToGrid/>
              <w:spacing w:beforeLines="0" w:afterLines="0" w:line="400" w:lineRule="exact"/>
              <w:ind w:firstLine="0" w:firstLineChars="0"/>
              <w:jc w:val="center"/>
              <w:textAlignment w:val="baseline"/>
              <w:rPr>
                <w:rFonts w:ascii="黑体" w:hAnsi="黑体" w:eastAsia="黑体"/>
                <w:b/>
                <w:kern w:val="0"/>
                <w:sz w:val="24"/>
                <w:szCs w:val="24"/>
                <w:shd w:val="clear" w:color="auto" w:fill="FFFFFF"/>
              </w:rPr>
            </w:pPr>
            <w:r>
              <w:rPr>
                <w:rFonts w:hint="eastAsia" w:ascii="黑体" w:hAnsi="黑体" w:eastAsia="黑体"/>
                <w:b/>
                <w:kern w:val="0"/>
                <w:sz w:val="24"/>
                <w:szCs w:val="24"/>
                <w:shd w:val="clear" w:color="auto" w:fill="FFFFFF"/>
              </w:rPr>
              <w:t>专栏</w:t>
            </w:r>
            <w:r>
              <w:rPr>
                <w:rFonts w:ascii="黑体" w:hAnsi="黑体" w:eastAsia="黑体"/>
                <w:b/>
                <w:kern w:val="0"/>
                <w:sz w:val="24"/>
                <w:szCs w:val="24"/>
                <w:shd w:val="clear" w:color="auto" w:fill="FFFFFF"/>
              </w:rPr>
              <w:t>6</w:t>
            </w:r>
            <w:r>
              <w:rPr>
                <w:rFonts w:hint="eastAsia" w:ascii="黑体" w:hAnsi="黑体" w:eastAsia="黑体"/>
                <w:b/>
                <w:kern w:val="0"/>
                <w:sz w:val="24"/>
                <w:szCs w:val="24"/>
                <w:shd w:val="clear" w:color="auto" w:fill="FFFFFF"/>
              </w:rPr>
              <w:t xml:space="preserve"> 揭东文化强区建设工程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adjustRightInd/>
              <w:snapToGrid/>
              <w:spacing w:beforeLines="0" w:afterLines="0" w:line="400" w:lineRule="exact"/>
              <w:ind w:firstLine="482"/>
              <w:jc w:val="left"/>
              <w:textAlignment w:val="baseline"/>
              <w:rPr>
                <w:rFonts w:ascii="楷体" w:hAnsi="楷体" w:eastAsia="楷体"/>
                <w:bCs/>
                <w:kern w:val="0"/>
                <w:sz w:val="24"/>
                <w:szCs w:val="24"/>
              </w:rPr>
            </w:pPr>
            <w:r>
              <w:rPr>
                <w:rFonts w:hint="eastAsia" w:ascii="楷体" w:hAnsi="楷体" w:eastAsia="楷体"/>
                <w:b/>
                <w:kern w:val="0"/>
                <w:sz w:val="24"/>
                <w:szCs w:val="24"/>
              </w:rPr>
              <w:t>1．社会主义核心价值观培育工程。</w:t>
            </w:r>
            <w:r>
              <w:rPr>
                <w:rFonts w:hint="eastAsia" w:ascii="楷体" w:hAnsi="楷体" w:eastAsia="楷体"/>
                <w:bCs/>
                <w:kern w:val="0"/>
                <w:sz w:val="24"/>
                <w:szCs w:val="24"/>
              </w:rPr>
              <w:t>培育践行社会主义核心价值观，从中小学教育入手，深化党史、新中国史、改革开放史、社会主义发展史学习教育。深化“贤德揭东人”评选宣传，推动全民终身学习的教育体系，全面提升人民文明素质。</w:t>
            </w:r>
          </w:p>
          <w:p>
            <w:pPr>
              <w:adjustRightInd/>
              <w:snapToGrid/>
              <w:spacing w:beforeLines="0" w:afterLines="0" w:line="400" w:lineRule="exact"/>
              <w:ind w:firstLine="482"/>
              <w:jc w:val="left"/>
              <w:textAlignment w:val="baseline"/>
              <w:rPr>
                <w:rFonts w:ascii="楷体" w:hAnsi="楷体" w:eastAsia="楷体"/>
                <w:bCs/>
                <w:kern w:val="0"/>
                <w:sz w:val="24"/>
                <w:szCs w:val="24"/>
              </w:rPr>
            </w:pPr>
            <w:r>
              <w:rPr>
                <w:rFonts w:hint="eastAsia" w:ascii="楷体" w:hAnsi="楷体" w:eastAsia="楷体"/>
                <w:b/>
                <w:kern w:val="0"/>
                <w:sz w:val="24"/>
                <w:szCs w:val="24"/>
              </w:rPr>
              <w:t>2．新时代文明创建工程。</w:t>
            </w:r>
            <w:r>
              <w:rPr>
                <w:rFonts w:hint="eastAsia" w:ascii="楷体" w:hAnsi="楷体" w:eastAsia="楷体"/>
                <w:bCs/>
                <w:kern w:val="0"/>
                <w:sz w:val="24"/>
                <w:szCs w:val="24"/>
              </w:rPr>
              <w:t>高标准推进新时代文明实践中心建设，广泛开展文明村镇、文明户、文明家庭等群众性精神文明创建活动，到2022年全区文明村镇覆盖面达100%。深入开展“扫黄打非”进基层。完善文化科技卫生“三下乡”长效机制。</w:t>
            </w:r>
          </w:p>
          <w:p>
            <w:pPr>
              <w:adjustRightInd/>
              <w:snapToGrid/>
              <w:spacing w:beforeLines="0" w:afterLines="0" w:line="400" w:lineRule="exact"/>
              <w:ind w:firstLine="482"/>
              <w:jc w:val="left"/>
              <w:textAlignment w:val="baseline"/>
              <w:rPr>
                <w:rFonts w:ascii="楷体" w:hAnsi="楷体" w:eastAsia="楷体"/>
                <w:bCs/>
                <w:kern w:val="0"/>
                <w:sz w:val="24"/>
                <w:szCs w:val="24"/>
              </w:rPr>
            </w:pPr>
            <w:r>
              <w:rPr>
                <w:rFonts w:hint="eastAsia" w:ascii="楷体" w:hAnsi="楷体" w:eastAsia="楷体"/>
                <w:b/>
                <w:kern w:val="0"/>
                <w:sz w:val="24"/>
                <w:szCs w:val="24"/>
              </w:rPr>
              <w:t>3．特色文化产业发展工程。</w:t>
            </w:r>
            <w:r>
              <w:rPr>
                <w:rFonts w:hint="eastAsia" w:ascii="楷体" w:hAnsi="楷体" w:eastAsia="楷体"/>
                <w:bCs/>
                <w:kern w:val="0"/>
                <w:sz w:val="24"/>
                <w:szCs w:val="24"/>
              </w:rPr>
              <w:t>推动实施传统工艺振兴计划，以龙舟制造和锡器、石茶盘、金桔油、冬菜制作等非遗项目为重点，培育形成具有地域特色的传统工艺产品，促进传统工艺提高品质、形成品牌、带动就业。</w:t>
            </w:r>
          </w:p>
        </w:tc>
      </w:tr>
    </w:tbl>
    <w:p>
      <w:pPr>
        <w:pStyle w:val="2"/>
      </w:pPr>
      <w:bookmarkStart w:id="96" w:name="_Toc85620560"/>
      <w:r>
        <w:rPr>
          <w:rFonts w:hint="eastAsia"/>
        </w:rPr>
        <w:t>十一、筑牢城乡安全底线</w:t>
      </w:r>
      <w:bookmarkEnd w:id="96"/>
    </w:p>
    <w:p>
      <w:pPr>
        <w:ind w:firstLine="640"/>
      </w:pPr>
      <w:r>
        <w:rPr>
          <w:rFonts w:hint="eastAsia"/>
        </w:rPr>
        <w:t>加强基层党组织建设，夯实基层基础，坚持政治、法治、德治、自治、智治相结合，建立健全党委领导、政府负责、社会协同、公众参与、法治保障的现代乡村社会治理体制，打造共建共治共享的乡村治理格局。</w:t>
      </w:r>
    </w:p>
    <w:p>
      <w:pPr>
        <w:pStyle w:val="3"/>
      </w:pPr>
      <w:bookmarkStart w:id="97" w:name="_Toc64733366"/>
      <w:bookmarkStart w:id="98" w:name="_Toc56780657"/>
      <w:bookmarkStart w:id="99" w:name="_Toc24944"/>
      <w:bookmarkStart w:id="100" w:name="_Toc85620561"/>
      <w:bookmarkStart w:id="101" w:name="_Toc12139"/>
      <w:r>
        <w:rPr>
          <w:rFonts w:hint="eastAsia"/>
        </w:rPr>
        <w:t>（一）健全应急管理</w:t>
      </w:r>
      <w:bookmarkEnd w:id="97"/>
      <w:bookmarkEnd w:id="98"/>
      <w:bookmarkEnd w:id="99"/>
      <w:r>
        <w:rPr>
          <w:rFonts w:hint="eastAsia"/>
        </w:rPr>
        <w:t>体系</w:t>
      </w:r>
      <w:bookmarkEnd w:id="100"/>
      <w:bookmarkEnd w:id="101"/>
    </w:p>
    <w:p>
      <w:pPr>
        <w:ind w:firstLine="643"/>
      </w:pPr>
      <w:r>
        <w:rPr>
          <w:rFonts w:ascii="楷体" w:hAnsi="楷体" w:eastAsia="楷体"/>
          <w:b/>
          <w:bCs/>
        </w:rPr>
        <w:t>推进全民减灾防灾知识普及</w:t>
      </w:r>
      <w:r>
        <w:rPr>
          <w:rFonts w:hint="eastAsia" w:ascii="楷体" w:hAnsi="楷体" w:eastAsia="楷体"/>
          <w:b/>
          <w:bCs/>
        </w:rPr>
        <w:t>。</w:t>
      </w:r>
      <w:r>
        <w:rPr>
          <w:rFonts w:hint="eastAsia"/>
        </w:rPr>
        <w:t>提升各级监管执法人员的业务水平，强化相关法律法规、标准规范、风险管理、安全技术、事故案例分析等相关内容学习。强化企业负责人、安全管理员、第一风险人的业务培训提升，强化企业各级人员的培训，探索开发针对企业不同岗位员工的线上、线下多种培训课程，拓展安全知识获取渠道。多渠道、多形式开展安全宣传教育，以安全教育进企业、进社区、进学校、进机关、进家庭等普及安全知识，培育安全文化，提升社会公众安全意识。</w:t>
      </w:r>
    </w:p>
    <w:p>
      <w:pPr>
        <w:ind w:firstLine="643"/>
      </w:pPr>
      <w:r>
        <w:rPr>
          <w:rFonts w:ascii="楷体" w:hAnsi="楷体" w:eastAsia="楷体"/>
          <w:b/>
          <w:bCs/>
        </w:rPr>
        <w:t>加强应急救援能力建设</w:t>
      </w:r>
      <w:r>
        <w:rPr>
          <w:rFonts w:hint="eastAsia" w:ascii="楷体" w:hAnsi="楷体" w:eastAsia="楷体"/>
          <w:b/>
          <w:bCs/>
        </w:rPr>
        <w:t>。</w:t>
      </w:r>
      <w:r>
        <w:rPr>
          <w:rFonts w:hint="eastAsia"/>
        </w:rPr>
        <w:t>采取多种措施加强综合性救援力量建设，采取与地方专业队伍、志愿者队伍相结合和建立共训共练、救援合作机制等方式，发挥各方面力量作用。优化全区消防布局，加强消防救援设施建设，完善消防供水设施，推进镇级专职队救援站建设，逐步增加消防装备建设的经费投入。强化应急救援队伍战斗力建设，抓紧补短板、强弱项，全面强化各专业队专业救援技能。适应科技信息化发展大势，以信息化推进应急管理现代化，提高监测预警能力、监管执法能力、辅助指挥决策能力、救援实战能力和社会动员能力。</w:t>
      </w:r>
    </w:p>
    <w:p>
      <w:pPr>
        <w:ind w:firstLine="643"/>
        <w:rPr>
          <w:rFonts w:ascii="仿宋" w:hAnsi="仿宋" w:cs="仿宋"/>
        </w:rPr>
      </w:pPr>
      <w:bookmarkStart w:id="102" w:name="_Toc9741"/>
      <w:r>
        <w:rPr>
          <w:rFonts w:hint="eastAsia" w:ascii="楷体" w:hAnsi="楷体" w:eastAsia="楷体"/>
          <w:b/>
          <w:bCs/>
        </w:rPr>
        <w:t>完善应急体系建设</w:t>
      </w:r>
      <w:bookmarkEnd w:id="102"/>
      <w:r>
        <w:rPr>
          <w:rFonts w:hint="eastAsia" w:ascii="楷体" w:hAnsi="楷体" w:eastAsia="楷体"/>
          <w:b/>
          <w:bCs/>
        </w:rPr>
        <w:t>。</w:t>
      </w:r>
      <w:r>
        <w:rPr>
          <w:rFonts w:hint="eastAsia" w:ascii="仿宋" w:hAnsi="仿宋" w:cs="仿宋"/>
        </w:rPr>
        <w:t>完善重大疫情防控体制机制，健全公共卫生应急管理体系，建立稳定的公共卫生事业投入机制，提升突发公共卫生事件处置能力。完善自然灾害、重特大事故和环境公害及人为破坏的应急管理、指挥救援计划，构建“三防”相关行业领域的应急预案体系。完善极端天气情况下应急预案，完善灾害威胁区域人员应急避难场所转移安置工作应急响应启动体系；建立灾害调查评估体系；强化城市防洪、排涝抢险救灾应急物资保障体系；深化粉尘涉爆等传统高危行业领域技术革新与设备升级改造，实行“机械化换人、自动化减员”。推进消防救援基础设施建设项目建设，制定区域消防站救援站和消防装备规划，全面提升抗御火灾风险能力。</w:t>
      </w:r>
    </w:p>
    <w:p>
      <w:pPr>
        <w:ind w:firstLine="643"/>
      </w:pPr>
      <w:r>
        <w:rPr>
          <w:rFonts w:ascii="楷体" w:hAnsi="楷体" w:eastAsia="楷体"/>
          <w:b/>
          <w:bCs/>
        </w:rPr>
        <w:t>提高应急物资保障水平</w:t>
      </w:r>
      <w:r>
        <w:rPr>
          <w:rFonts w:hint="eastAsia" w:ascii="楷体" w:hAnsi="楷体" w:eastAsia="楷体"/>
          <w:b/>
          <w:bCs/>
        </w:rPr>
        <w:t>。</w:t>
      </w:r>
      <w:r>
        <w:rPr>
          <w:rFonts w:hint="eastAsia"/>
        </w:rPr>
        <w:t>完善应急物资储备及应急处置机制，</w:t>
      </w:r>
      <w:r>
        <w:rPr>
          <w:rFonts w:hint="eastAsia" w:ascii="仿宋" w:hAnsi="仿宋" w:cs="仿宋"/>
        </w:rPr>
        <w:t>实行储备粮、储备油、应急药品等应急物资的政府储备与企业储备、实物储备与产能储备相结合的应急物资储备联动机制；推进揭阳产业园粮食应急储备物资仓库进度，着力解决粮食加工、运输和销售网络问题，确保粮食安全；建立快捷高效的物资调拨调运应急物资保障体系；</w:t>
      </w:r>
      <w:r>
        <w:rPr>
          <w:rFonts w:hint="eastAsia"/>
        </w:rPr>
        <w:t>根据全国基础版家庭应急物资储备建议清单，因地制宜加快制定区域扩充版清单，引导城市家庭对家庭急救箱进行疫情、洪水、火灾、地震、台风等物资储备。强化应急管理装备技术支撑，全面适应科技信息化发展大势，依靠科技提高应急管理的科学化、专业化、智能化、精细化水平，以信息化推进应急管理现代化，提高监测预警能力、监管执法能力、辅助指挥决策能力、救援实战能力和社会动员能力。</w:t>
      </w:r>
    </w:p>
    <w:p>
      <w:pPr>
        <w:ind w:firstLine="643"/>
        <w:rPr>
          <w:rFonts w:ascii="仿宋" w:hAnsi="仿宋" w:cs="仿宋"/>
        </w:rPr>
      </w:pPr>
      <w:bookmarkStart w:id="103" w:name="_Toc15261"/>
      <w:r>
        <w:rPr>
          <w:rFonts w:hint="eastAsia" w:ascii="楷体" w:hAnsi="楷体" w:eastAsia="楷体"/>
          <w:b/>
          <w:bCs/>
        </w:rPr>
        <w:t>加快应急平台系统建设</w:t>
      </w:r>
      <w:bookmarkEnd w:id="103"/>
      <w:r>
        <w:rPr>
          <w:rFonts w:hint="eastAsia" w:ascii="楷体" w:hAnsi="楷体" w:eastAsia="楷体"/>
          <w:b/>
          <w:bCs/>
        </w:rPr>
        <w:t>。</w:t>
      </w:r>
      <w:r>
        <w:rPr>
          <w:rFonts w:hint="eastAsia" w:ascii="仿宋" w:hAnsi="仿宋" w:cs="仿宋"/>
        </w:rPr>
        <w:t>建立集统一指挥、快速响应、信息共享、会商平台、可视化管理于一体的智慧应急指挥平台，按照“大应急”理念，抓好部门分平台建设，做到信息共享，确保直通街道社区和基层网格员。充分利用“互联网+”、云计算和5G信息技术等先进科技手段，推进安全和应急管理领域物联网应用建设，提升区应急指挥技术支撑系统的科技含量和智能化水平。</w:t>
      </w:r>
    </w:p>
    <w:p>
      <w:pPr>
        <w:pStyle w:val="3"/>
      </w:pPr>
      <w:bookmarkStart w:id="104" w:name="_Toc85620562"/>
      <w:bookmarkStart w:id="105" w:name="_Toc9565"/>
      <w:bookmarkStart w:id="106" w:name="_Toc48920500"/>
      <w:bookmarkStart w:id="107" w:name="_Toc49756382"/>
      <w:bookmarkStart w:id="108" w:name="_Toc47444301"/>
      <w:bookmarkStart w:id="109" w:name="_Toc64733367"/>
      <w:bookmarkStart w:id="110" w:name="_Toc49759365"/>
      <w:bookmarkStart w:id="111" w:name="_Toc15076"/>
      <w:bookmarkStart w:id="112" w:name="_Toc48140129"/>
      <w:r>
        <w:rPr>
          <w:rFonts w:hint="eastAsia"/>
        </w:rPr>
        <w:t>（二）全面深化平安揭东建设</w:t>
      </w:r>
      <w:bookmarkEnd w:id="104"/>
      <w:bookmarkEnd w:id="105"/>
      <w:bookmarkEnd w:id="106"/>
      <w:bookmarkEnd w:id="107"/>
      <w:bookmarkEnd w:id="108"/>
      <w:bookmarkEnd w:id="109"/>
      <w:bookmarkEnd w:id="110"/>
      <w:bookmarkEnd w:id="111"/>
      <w:bookmarkEnd w:id="112"/>
    </w:p>
    <w:p>
      <w:pPr>
        <w:ind w:firstLine="643"/>
        <w:rPr>
          <w:szCs w:val="32"/>
        </w:rPr>
      </w:pPr>
      <w:r>
        <w:rPr>
          <w:rFonts w:ascii="楷体" w:hAnsi="楷体" w:eastAsia="楷体"/>
          <w:b/>
          <w:bCs/>
        </w:rPr>
        <w:t>提高社会治安防控水平</w:t>
      </w:r>
      <w:r>
        <w:rPr>
          <w:rFonts w:hint="eastAsia" w:ascii="楷体" w:hAnsi="楷体" w:eastAsia="楷体"/>
          <w:b/>
          <w:bCs/>
        </w:rPr>
        <w:t>。</w:t>
      </w:r>
      <w:r>
        <w:rPr>
          <w:rFonts w:hint="eastAsia"/>
          <w:szCs w:val="32"/>
        </w:rPr>
        <w:t>全面整合共享数据资源，形成智慧新指挥、新侦查、新防控、新民生等八大创新警务应用，落实区智慧智能指挥侦查项目建设。推进社会管理创新，完善网格化管理，稳步推进全区治安高清视频监控系统建设，提高基层警务保障水平，加快玉湖、锡场、埔田、</w:t>
      </w:r>
      <w:bookmarkStart w:id="113" w:name="_Hlk64786938"/>
      <w:r>
        <w:rPr>
          <w:rFonts w:hint="eastAsia"/>
          <w:szCs w:val="32"/>
        </w:rPr>
        <w:t>磐东</w:t>
      </w:r>
      <w:bookmarkEnd w:id="113"/>
      <w:r>
        <w:rPr>
          <w:rFonts w:hint="eastAsia"/>
          <w:szCs w:val="32"/>
        </w:rPr>
        <w:t>派出所工程和磐东交警支队建设。深入实施强警工程，鼓励支持集中培训、互帮互学、民警自学等方式，打造人民群众满意的高素质过硬公安队伍。打击各类违法犯罪活动，加快推</w:t>
      </w:r>
      <w:r>
        <w:rPr>
          <w:rFonts w:hint="eastAsia" w:ascii="仿宋" w:hAnsi="仿宋"/>
          <w:szCs w:val="32"/>
        </w:rPr>
        <w:t>进“雪亮工程”</w:t>
      </w:r>
      <w:r>
        <w:rPr>
          <w:rFonts w:hint="eastAsia"/>
          <w:szCs w:val="32"/>
        </w:rPr>
        <w:t>，打击</w:t>
      </w:r>
      <w:r>
        <w:rPr>
          <w:rFonts w:hint="eastAsia" w:ascii="仿宋" w:hAnsi="仿宋"/>
          <w:szCs w:val="32"/>
        </w:rPr>
        <w:t>“黄赌毒”</w:t>
      </w:r>
      <w:r>
        <w:rPr>
          <w:rFonts w:hint="eastAsia"/>
          <w:szCs w:val="32"/>
        </w:rPr>
        <w:t>等传统犯罪及电信网络诈骗等新型犯罪；推动扫黑除恶常态化，严厉打击黑社会性质组织、恶势力犯罪集团；依法严厉打击和惩治盗窃、抢夺、诈骗、枪爆等直接威胁群众安全的违法犯罪活动；加大力度打击非法集资、网络传销、</w:t>
      </w:r>
      <w:r>
        <w:rPr>
          <w:rFonts w:hint="eastAsia" w:ascii="仿宋" w:hAnsi="仿宋"/>
          <w:szCs w:val="32"/>
        </w:rPr>
        <w:t>“套路贷”等</w:t>
      </w:r>
      <w:r>
        <w:rPr>
          <w:rFonts w:hint="eastAsia"/>
          <w:szCs w:val="32"/>
        </w:rPr>
        <w:t>典型经济犯罪案件，深入推进</w:t>
      </w:r>
      <w:r>
        <w:rPr>
          <w:rFonts w:hint="eastAsia" w:ascii="仿宋" w:hAnsi="仿宋"/>
          <w:szCs w:val="32"/>
        </w:rPr>
        <w:t>“全民禁毒工程”</w:t>
      </w:r>
      <w:r>
        <w:rPr>
          <w:rFonts w:hint="eastAsia"/>
          <w:szCs w:val="32"/>
        </w:rPr>
        <w:t>，维护社会和谐稳定和长治久安。</w:t>
      </w:r>
    </w:p>
    <w:p>
      <w:pPr>
        <w:ind w:firstLine="643"/>
        <w:rPr>
          <w:szCs w:val="32"/>
        </w:rPr>
      </w:pPr>
      <w:r>
        <w:rPr>
          <w:rFonts w:ascii="楷体" w:hAnsi="楷体" w:eastAsia="楷体"/>
          <w:b/>
          <w:bCs/>
        </w:rPr>
        <w:t>提高安全生产水平</w:t>
      </w:r>
      <w:r>
        <w:rPr>
          <w:rFonts w:hint="eastAsia" w:ascii="楷体" w:hAnsi="楷体" w:eastAsia="楷体"/>
          <w:b/>
          <w:bCs/>
        </w:rPr>
        <w:t>。</w:t>
      </w:r>
      <w:r>
        <w:rPr>
          <w:rFonts w:hint="eastAsia"/>
          <w:szCs w:val="32"/>
        </w:rPr>
        <w:t>健全“平安建设”的长效机制，严格落实“党政同责、一岗双责、失职追责”的安全生产责任制，建立常态化隐患排查和安全预防控制体系，强执法、严监管，坚决遏制重特大安全事故发生。加强综合监管，充分发挥安委会统筹协调作用，督促各地、各相关部门依法依规履行安全生产监管职责，落实“一线三排”工作机制，围绕道路交通、建筑施工、危险化学品和烟花爆竹、消防、非煤矿山、水上交通和渔业船舶等重点行业领域，深入开展安全生产专项整治三年行动，强化消防安全、交通安全管理以及危险品、违禁品安全管理，推动全区安全生产整体水平明显提高、安全生产形势明显好转。</w:t>
      </w:r>
    </w:p>
    <w:p>
      <w:pPr>
        <w:ind w:firstLine="643"/>
        <w:rPr>
          <w:szCs w:val="32"/>
        </w:rPr>
      </w:pPr>
      <w:r>
        <w:rPr>
          <w:rFonts w:ascii="楷体" w:hAnsi="楷体" w:eastAsia="楷体"/>
          <w:b/>
          <w:bCs/>
        </w:rPr>
        <w:t>保障食品药品安全</w:t>
      </w:r>
      <w:r>
        <w:rPr>
          <w:rFonts w:hint="eastAsia" w:ascii="楷体" w:hAnsi="楷体" w:eastAsia="楷体"/>
          <w:b/>
          <w:bCs/>
        </w:rPr>
        <w:t>。</w:t>
      </w:r>
      <w:r>
        <w:rPr>
          <w:rFonts w:hint="eastAsia"/>
          <w:szCs w:val="32"/>
        </w:rPr>
        <w:t>完善食品药品安全监管制度，落实“四个最严”的要求，全面履行企业主体责任，形成企业自律、政府监管、社会协同、公众参与的社会共治格局。严把产地环境安全关、食品生产使用关、食品加工质量安全关、流通销售质量安全关、餐饮服务质量安全关等</w:t>
      </w:r>
      <w:r>
        <w:rPr>
          <w:szCs w:val="32"/>
        </w:rPr>
        <w:t>5</w:t>
      </w:r>
      <w:r>
        <w:rPr>
          <w:rFonts w:hint="eastAsia"/>
          <w:szCs w:val="32"/>
        </w:rPr>
        <w:t>道关口，实现生产、流通和消费环节的全过程监管。加大对重点产品、重点场所的抽检力度，提高食品药品安全风险识别、评估和防控能力。加快完善行业主体信用信息记录，落实守信联合激励与失信联合惩戒措施。</w:t>
      </w:r>
    </w:p>
    <w:p>
      <w:pPr>
        <w:ind w:firstLine="643"/>
        <w:rPr>
          <w:szCs w:val="32"/>
        </w:rPr>
      </w:pPr>
      <w:r>
        <w:rPr>
          <w:rFonts w:ascii="楷体" w:hAnsi="楷体" w:eastAsia="楷体"/>
          <w:b/>
          <w:bCs/>
        </w:rPr>
        <w:t>防范化解重大风险</w:t>
      </w:r>
      <w:r>
        <w:rPr>
          <w:rFonts w:hint="eastAsia" w:ascii="楷体" w:hAnsi="楷体" w:eastAsia="楷体"/>
          <w:b/>
          <w:bCs/>
        </w:rPr>
        <w:t>。</w:t>
      </w:r>
      <w:r>
        <w:rPr>
          <w:rFonts w:hint="eastAsia"/>
          <w:szCs w:val="32"/>
        </w:rPr>
        <w:t>坚决贯彻总体国家安全观，落实党中央关于维护政治安全的各项要求，确保我国政治安全。坚持底线思维，增强忧患意识，加强对经济领域风险的梳理排查，建立动态监测预警机制，做到早识别、早预警、早发现、早处置，将各类风险消灭在萌芽状态。坚决遏制隐性债务增量，健全常态化监测机制，加强政府性债务与隐性债务监测预警。提高库款调度规范化、科学化水平，防范支付风险。强化金融风险监测防控，建立防范化解金融风险长效机制。切实落实保安全、护稳定各项措施，下大气力解决好人民群众切身利益问题，全面做好就业、教育、社会保障、医药卫生、食品安全、安全生产、社会治安、住房市场调控等各方面工作，不断增加人民群众获得感、幸福感、安全感。</w:t>
      </w:r>
    </w:p>
    <w:p>
      <w:pPr>
        <w:ind w:firstLine="643"/>
      </w:pPr>
      <w:r>
        <w:rPr>
          <w:rFonts w:ascii="楷体" w:hAnsi="楷体" w:eastAsia="楷体"/>
          <w:b/>
          <w:bCs/>
        </w:rPr>
        <w:t>提升社会矛盾纠纷化解能力</w:t>
      </w:r>
      <w:r>
        <w:rPr>
          <w:rFonts w:hint="eastAsia" w:ascii="楷体" w:hAnsi="楷体" w:eastAsia="楷体"/>
          <w:b/>
          <w:bCs/>
        </w:rPr>
        <w:t>。</w:t>
      </w:r>
      <w:r>
        <w:rPr>
          <w:rFonts w:hint="eastAsia"/>
        </w:rPr>
        <w:t>坚持和发展新时代“枫桥经验”，畅通和规范群众诉求表达、利益协调、权益保障通道，加强矛盾排查和风险研判，完善社会矛盾纠纷多元预防调处化解综合机制，致力将矛盾纠纷化解在基层。探索在矛盾纠纷多发领域建立“一站式”纠纷解决机制。加强农村土地承包经营纠纷调解仲裁、劳动人事争议调解仲裁工作。</w:t>
      </w:r>
    </w:p>
    <w:bookmarkEnd w:id="48"/>
    <w:p>
      <w:pPr>
        <w:pStyle w:val="2"/>
      </w:pPr>
      <w:bookmarkStart w:id="114" w:name="_Toc85620563"/>
      <w:r>
        <w:rPr>
          <w:rFonts w:hint="eastAsia"/>
        </w:rPr>
        <w:t>十二、推进基本公共服务均等化</w:t>
      </w:r>
      <w:bookmarkEnd w:id="114"/>
    </w:p>
    <w:p>
      <w:pPr>
        <w:ind w:firstLine="640"/>
      </w:pPr>
      <w:r>
        <w:rPr>
          <w:rFonts w:hint="eastAsia"/>
        </w:rPr>
        <w:t>加快形成促进城乡和区域基本公共服务一体化发展的制度体系，推进社会保障顺畅衔接，协同发展教育、医疗卫生、养老等社会事业，进一步缩小基本公共服务差距，推动区域基本公共服务均等化程度提高。</w:t>
      </w:r>
    </w:p>
    <w:p>
      <w:pPr>
        <w:pStyle w:val="3"/>
      </w:pPr>
      <w:bookmarkStart w:id="115" w:name="_Toc85620564"/>
      <w:bookmarkStart w:id="116" w:name="_Toc70433744"/>
      <w:r>
        <w:rPr>
          <w:rFonts w:hint="eastAsia"/>
        </w:rPr>
        <w:t>（一）促进城乡区域均等化</w:t>
      </w:r>
      <w:bookmarkEnd w:id="115"/>
      <w:bookmarkEnd w:id="116"/>
    </w:p>
    <w:p>
      <w:pPr>
        <w:widowControl/>
        <w:shd w:val="clear" w:color="auto" w:fill="FFFFFF"/>
        <w:wordWrap w:val="0"/>
        <w:adjustRightInd/>
        <w:snapToGrid/>
        <w:spacing w:line="450" w:lineRule="atLeast"/>
        <w:ind w:firstLine="640"/>
        <w:rPr>
          <w:rFonts w:ascii="仿宋" w:hAnsi="仿宋" w:cs="宋体"/>
          <w:kern w:val="0"/>
          <w:szCs w:val="32"/>
        </w:rPr>
      </w:pPr>
      <w:r>
        <w:rPr>
          <w:rFonts w:hint="eastAsia" w:ascii="仿宋" w:hAnsi="仿宋" w:cs="宋体"/>
          <w:kern w:val="0"/>
          <w:szCs w:val="32"/>
        </w:rPr>
        <w:t>缩小城乡服务差距。加快义务教育、社会保障、公共卫生、劳动就业等制度城乡一体设计、一体实施。有步骤、分阶段推动规划、政策、投入、项目等同城化管理，统筹设施建设和人员安排，推动城乡服务内容和标准统一衔接。把基本公共服务重点放在农村和接纳农业转移人口较多的城镇，补齐农村和特大镇基本公共服务短板。鼓励和引导城镇公共服务资源向农村延伸，促进城市优质资源向农村辐射。提高区域服务均等化水平。强化区人民政府统筹职能，加大对区域内基本公共服务薄弱地区扶持力度，逐步缩小镇（街）间服务差距。</w:t>
      </w:r>
    </w:p>
    <w:p>
      <w:pPr>
        <w:pStyle w:val="3"/>
      </w:pPr>
      <w:bookmarkStart w:id="117" w:name="_Toc496101490"/>
      <w:bookmarkEnd w:id="117"/>
      <w:bookmarkStart w:id="118" w:name="_Toc85620565"/>
      <w:bookmarkStart w:id="119" w:name="_Toc70433745"/>
      <w:r>
        <w:rPr>
          <w:rFonts w:hint="eastAsia"/>
        </w:rPr>
        <w:t>（二）推进基本公共服务资源共享</w:t>
      </w:r>
      <w:bookmarkEnd w:id="118"/>
      <w:bookmarkEnd w:id="119"/>
    </w:p>
    <w:p>
      <w:pPr>
        <w:widowControl/>
        <w:shd w:val="clear" w:color="auto" w:fill="FFFFFF"/>
        <w:wordWrap w:val="0"/>
        <w:adjustRightInd/>
        <w:snapToGrid/>
        <w:spacing w:line="450" w:lineRule="atLeast"/>
        <w:ind w:firstLine="640"/>
        <w:rPr>
          <w:rFonts w:ascii="仿宋" w:hAnsi="仿宋" w:cs="宋体"/>
          <w:kern w:val="0"/>
          <w:szCs w:val="32"/>
        </w:rPr>
      </w:pPr>
      <w:r>
        <w:rPr>
          <w:rFonts w:hint="eastAsia" w:ascii="仿宋" w:hAnsi="仿宋" w:cs="宋体"/>
          <w:kern w:val="0"/>
          <w:szCs w:val="32"/>
        </w:rPr>
        <w:t>推进基本公共服务信息、资源、技术、设备等要素共享和互相开放，对基础设施进行合理配置，统一规划、充分发挥资源集聚的效用。促进区域教育资源统一规划和共享，推进区域公共医疗卫生资源共享，加快区域公共文化体育资源共享，加快推进文化信息资源共享工程建设，建立区域体育信息资源共享的标准和技术平台，初步建立人口计生基础技术服务信息资源共享体系，推进区域生活保障业务资源共享，建立公共就业服务信息共享机制。加强基本公共服务制度间的衔接。推进基本公共服务框架、内容和实施步骤相互间的对接，减少制度障碍。逐步实现基本公共服务待遇互相承认，使基本公共服务不因人员流动而改变，为各项资源要素自由流动提供条件。推动基本公共服务内容和服务流程的标准化建设，为最终统一基本公共服务待遇打下制度基础。构建公共就业信息共享机制，建立覆盖城乡、直达社区互联互通的人力资源市场信息网络，人力资源信息预测预警机制，促进人力资源要素自由流动。整合相关资源，持续改善基层各类公共服务设施条件。依托政府综合服务大厅完善相关经办服务设施，推动基层综合公共服务平台统筹发展和共建共享。简化基层办事环节和手续，优化服务流程，明确办理时限，推行一站式办理、上门办理、预约办理等服务方式。</w:t>
      </w:r>
    </w:p>
    <w:p>
      <w:pPr>
        <w:pStyle w:val="2"/>
      </w:pPr>
      <w:bookmarkStart w:id="120" w:name="_Toc85620566"/>
      <w:r>
        <w:rPr>
          <w:rFonts w:hint="eastAsia"/>
        </w:rPr>
        <w:t>十三、创新公共服务供给方式</w:t>
      </w:r>
      <w:bookmarkEnd w:id="120"/>
    </w:p>
    <w:p>
      <w:pPr>
        <w:ind w:firstLine="640"/>
      </w:pPr>
      <w:r>
        <w:rPr>
          <w:rFonts w:hint="eastAsia"/>
        </w:rPr>
        <w:t>发扬以共享发展增进人民福祉的重要理念，坚持发展为了人民、发展依靠人民、发展成果由人民共享，支持各类主体平等参与，形成并扩大供给合力，不断增强人民群众的获得感。</w:t>
      </w:r>
    </w:p>
    <w:p>
      <w:pPr>
        <w:pStyle w:val="3"/>
      </w:pPr>
      <w:bookmarkStart w:id="121" w:name="_Toc85620567"/>
      <w:r>
        <w:rPr>
          <w:rFonts w:hint="eastAsia"/>
        </w:rPr>
        <w:t>（一）发挥社会组织积极作用</w:t>
      </w:r>
      <w:bookmarkEnd w:id="121"/>
    </w:p>
    <w:p>
      <w:pPr>
        <w:widowControl/>
        <w:adjustRightInd/>
        <w:snapToGrid/>
        <w:ind w:firstLine="643"/>
        <w:rPr>
          <w:kern w:val="0"/>
          <w:szCs w:val="32"/>
        </w:rPr>
      </w:pPr>
      <w:r>
        <w:rPr>
          <w:rFonts w:ascii="楷体" w:hAnsi="楷体" w:eastAsia="楷体"/>
          <w:b/>
          <w:bCs/>
        </w:rPr>
        <w:t>发展非营利公共服务组织。</w:t>
      </w:r>
      <w:r>
        <w:rPr>
          <w:kern w:val="0"/>
          <w:szCs w:val="32"/>
        </w:rPr>
        <w:t>扩大教育、医疗卫生、养老等领域民办非企业单位承接政府职能、参与政府购买基本公共服务的范围，拓展社会组织发展空间。大力发展公益慈善类社会组织，推进规范化和品牌化建设，提高公信力和自我发展能力。落实和完善财政扶持、税费优惠、人才队伍建设及社会保障等政策，加强提供基本公共服务的社会组织的规范管理及能力建设，促进健康快速发展。促进事业单位在提供基本公共服务方面发挥更积极作用。</w:t>
      </w:r>
    </w:p>
    <w:p>
      <w:pPr>
        <w:widowControl/>
        <w:adjustRightInd/>
        <w:snapToGrid/>
        <w:ind w:firstLine="643"/>
        <w:rPr>
          <w:kern w:val="0"/>
          <w:szCs w:val="32"/>
        </w:rPr>
      </w:pPr>
      <w:r>
        <w:rPr>
          <w:rFonts w:ascii="楷体" w:hAnsi="楷体" w:eastAsia="楷体"/>
          <w:b/>
          <w:bCs/>
        </w:rPr>
        <w:t>扩大社会工作者和志愿者队伍。</w:t>
      </w:r>
      <w:r>
        <w:rPr>
          <w:kern w:val="0"/>
          <w:szCs w:val="32"/>
        </w:rPr>
        <w:t>加快培育发展社会工作者队伍，通过灵活适宜的方式，在社区公共服务、家庭支持、流动人口和特殊人群服务等领域加大社工服务引入力度，重点在城乡基层增加专业社工。推行志愿服务项目需求和岗位定期发布机制，打造供需无缝对接平台，建立健全志愿服务记录管理，促进志愿者组织规范化常态化运行，提供多层次、多样化、有特色的基本公共服务。</w:t>
      </w:r>
    </w:p>
    <w:p>
      <w:pPr>
        <w:widowControl/>
        <w:adjustRightInd/>
        <w:snapToGrid/>
        <w:ind w:firstLine="643"/>
      </w:pPr>
      <w:r>
        <w:rPr>
          <w:rFonts w:ascii="楷体" w:hAnsi="楷体" w:eastAsia="楷体"/>
          <w:b/>
          <w:bCs/>
          <w:kern w:val="0"/>
          <w:szCs w:val="32"/>
        </w:rPr>
        <w:t>加强社会自组织及服务能力建设。</w:t>
      </w:r>
      <w:r>
        <w:rPr>
          <w:kern w:val="0"/>
          <w:szCs w:val="32"/>
        </w:rPr>
        <w:t>坚持服务中心下移取向，做实做强社区公共服务平台，按标准配备设施设备和服务队伍，整合力量，集成服务。在全省加快推行社区公共服务事项准入制度，“权随责走、费随事转”，切实减轻社区行政负担。细化优化社区网格化管理，将基本公共服务落实到社区、细化到网格、延伸到家庭。开展社区服务中心（站）社会化运营模式试点，探索形成政府引导和财政兜底、社会组织参与和直接运营、居民和社会有效评价评估的社会化社区服务新模式。发挥居（家）委会、村委会、议事会等基层组织在动员社区资源、提供公共服务、开展调查评估等方面的作用。</w:t>
      </w:r>
    </w:p>
    <w:p>
      <w:pPr>
        <w:pStyle w:val="3"/>
      </w:pPr>
      <w:bookmarkStart w:id="122" w:name="_Toc85620568"/>
      <w:r>
        <w:rPr>
          <w:rFonts w:hint="eastAsia"/>
        </w:rPr>
        <w:t>（二）吸引非公资本进入公共服务重点领域</w:t>
      </w:r>
      <w:bookmarkEnd w:id="122"/>
    </w:p>
    <w:p>
      <w:pPr>
        <w:ind w:firstLine="643"/>
      </w:pPr>
      <w:r>
        <w:rPr>
          <w:rFonts w:hint="eastAsia" w:ascii="楷体" w:hAnsi="楷体" w:eastAsia="楷体"/>
          <w:b/>
          <w:bCs/>
        </w:rPr>
        <w:t>提供多元化多层次的教育服务。</w:t>
      </w:r>
      <w:r>
        <w:rPr>
          <w:rFonts w:hint="eastAsia"/>
        </w:rPr>
        <w:t>发挥优质学校的辐射带动作用，鼓励省内优质基础教育学校整合薄弱校资源，建立分校，一体化管理。加快研究制定促进校企合作办学的有关法规和激励政策，深化产教融合，鼓励行业协会、企业兴办职业教育，强化企业在校企合作中的主体地位，推动校企合作的制度化建设。进一步鼓励有条件的企业试行职业院校和企业联合招生、联合培养及学徒制，企业根据用工需求与职业院校实行联合招生（招工）、联合培养。</w:t>
      </w:r>
    </w:p>
    <w:p>
      <w:pPr>
        <w:ind w:firstLine="643"/>
      </w:pPr>
      <w:r>
        <w:rPr>
          <w:rFonts w:hint="eastAsia" w:ascii="楷体" w:hAnsi="楷体" w:eastAsia="楷体"/>
          <w:b/>
          <w:bCs/>
        </w:rPr>
        <w:t>拓展社会力量办医空间。</w:t>
      </w:r>
      <w:r>
        <w:rPr>
          <w:rFonts w:hint="eastAsia"/>
        </w:rPr>
        <w:t>实行“非禁即入”，放宽市场准入，引导社会力量进入医疗服务资源较稀缺的康复、护理、老年病等领域，设立肿瘤、心血管、儿科、眼科、妇产科、口腔、中医特色专科、精神病科、整形外科等专科专病医疗机构，鼓励发展健康体检、中医养生保健、健康评估、医学检验中心和影像中心等健康服务新兴业态。为社会办医预留规划发展空间，同步预留诊疗科目设置和大型医用设备配置空间。鼓励有实力的企业、慈善机构、基金会、商业保险机构等举办医疗机构，鼓励具有资质的人员依法开办高端私人诊所。鼓励公立医院资源丰富的地区探索以公建民营、民办公助等方式建立面向所有医疗机构的区域性检验检查中心，引导社会资本以多种方式参与包括国有企业举办医院在内的部分公立医院改制重组。</w:t>
      </w:r>
    </w:p>
    <w:p>
      <w:pPr>
        <w:ind w:firstLine="643"/>
      </w:pPr>
      <w:r>
        <w:rPr>
          <w:rFonts w:hint="eastAsia" w:ascii="楷体" w:hAnsi="楷体" w:eastAsia="楷体"/>
          <w:b/>
          <w:bCs/>
        </w:rPr>
        <w:t>鼓励非公资本参与社会服务。</w:t>
      </w:r>
      <w:r>
        <w:rPr>
          <w:rFonts w:hint="eastAsia"/>
        </w:rPr>
        <w:t>在留守儿童关爱保护、未成年人社会保护等领域，稳妥推进政府向非公资本购买服务。对五保对象、孤残儿童、重点优抚对象等集中供养的项目，积极引入社会力量，按政策给予补贴补助，实行税费减免等优惠政策。在福利床位空置率较高的部分镇街，引入社会化运营管理，按照实际入住的符合政策兜底保障条件人员给予财政补贴。灵活采取多种方式，推动政府与社会资本在养老等领域合作。</w:t>
      </w:r>
    </w:p>
    <w:p>
      <w:pPr>
        <w:ind w:firstLine="643"/>
      </w:pPr>
      <w:r>
        <w:rPr>
          <w:rFonts w:hint="eastAsia" w:ascii="楷体" w:hAnsi="楷体" w:eastAsia="楷体"/>
          <w:b/>
          <w:bCs/>
        </w:rPr>
        <w:t>促进保障房建设和运营市场化。</w:t>
      </w:r>
      <w:r>
        <w:rPr>
          <w:rFonts w:hint="eastAsia"/>
        </w:rPr>
        <w:t>支持符合条件的市场化实施主体发行企业债券或中期票据，鼓励发行“债贷组合”专项债券。引导民间资本通过直接投资、间接投资、参股、委托代建等多种方式参与危旧房、三旧改造。鼓励商业银行在风险可控、商业可持续的前提下，开发适合住房租赁业务发展需要的信贷产品。进一步发挥开发性、政策性金融作用，鼓励商业银行按照风险可控的原则，加大对公共租赁住房等保障性住房的信贷支持力度。支持采取购买服务、政府与社会资本合作等模式，将现有政府投资和管理的公租房交由专业化企业运营管理，不断提高管理和服务水平。</w:t>
      </w:r>
    </w:p>
    <w:p>
      <w:pPr>
        <w:ind w:firstLine="643"/>
      </w:pPr>
      <w:r>
        <w:rPr>
          <w:rFonts w:hint="eastAsia" w:ascii="楷体" w:hAnsi="楷体" w:eastAsia="楷体"/>
          <w:b/>
          <w:bCs/>
        </w:rPr>
        <w:t>加大公共文体服务领域非公资本参与力度。</w:t>
      </w:r>
      <w:r>
        <w:rPr>
          <w:rFonts w:hint="eastAsia"/>
        </w:rPr>
        <w:t>在公共文体设施运营管理、表演艺术团体演出、体育赛事活动，全民阅读、群众文化、全民健身、文化艺术体育人才培养、古籍保护、文化遗产保护传承与展示传播、地域文化体育品牌培育与推广等项目中，大力推动政府向社会力量购买服务。支持社会资本参与“三馆一院”建设，逐步探索“政府+社会出资”等方式，按照以事定费的原则安排政府购买服务预算。将民办图书馆、民营演艺机构、民办博物馆、民办互联网服务场所等由非公资本提供、符合一定标准的文体服务纳入政府购买范围。</w:t>
      </w:r>
    </w:p>
    <w:p>
      <w:pPr>
        <w:ind w:firstLine="643"/>
      </w:pPr>
      <w:r>
        <w:rPr>
          <w:rFonts w:hint="eastAsia" w:ascii="楷体" w:hAnsi="楷体" w:eastAsia="楷体"/>
          <w:b/>
          <w:bCs/>
        </w:rPr>
        <w:t>扩大公共服务对外开放。</w:t>
      </w:r>
      <w:r>
        <w:rPr>
          <w:rFonts w:hint="eastAsia"/>
        </w:rPr>
        <w:t>支持中外合作办学、合作办医、共建养老机构，吸引外商通过合资或独资形式，兴办国际学校、双语幼儿园、“企业大学”、培训机构、专科诊所、健康保健中心及残疾人托养康复机构，鼓励连锁经营和标准化服务。在公共文化、群众体育等领域的加强对外交流，开展国际合作项目。</w:t>
      </w:r>
    </w:p>
    <w:p>
      <w:pPr>
        <w:pStyle w:val="3"/>
      </w:pPr>
      <w:bookmarkStart w:id="123" w:name="_Toc85620569"/>
      <w:r>
        <w:rPr>
          <w:rFonts w:hint="eastAsia"/>
        </w:rPr>
        <w:t>（三）提升信息化服务水平</w:t>
      </w:r>
      <w:bookmarkEnd w:id="123"/>
    </w:p>
    <w:p>
      <w:pPr>
        <w:ind w:firstLine="643"/>
      </w:pPr>
      <w:r>
        <w:rPr>
          <w:rFonts w:hint="eastAsia" w:ascii="楷体" w:hAnsi="楷体" w:eastAsia="楷体"/>
          <w:b/>
          <w:bCs/>
        </w:rPr>
        <w:t>推动数据资源多方共享。</w:t>
      </w:r>
      <w:r>
        <w:rPr>
          <w:rFonts w:hint="eastAsia"/>
        </w:rPr>
        <w:t>推进网上办公和信息资源共享，构建横向衔接、纵向贯通的网上信息系统，实现区镇（街）之间、部门之间、镇（街）与社区（村）之间管理服务信息互通，有效对接服务需求与服务供给。通过数据共享，简化办事程序，逐步形成一个窗口、一张电子卡服务模式，让人民少跑路。加强公安、民政、教育、卫生计生、人力社保等部门信息共享，推动实现人口信息登记、就业社保、婚育证明等服务便捷办理。积极探索推进各类公共服务卡融合、整合，推广一卡式便捷化服务。搭建互联互通的人口健康信息平台，实现电子病历、电子健康档案协同共享的连续记录。</w:t>
      </w:r>
    </w:p>
    <w:tbl>
      <w:tblPr>
        <w:tblStyle w:val="2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黑体" w:hAnsi="黑体" w:eastAsia="黑体"/>
                <w:b/>
                <w:bCs/>
                <w:sz w:val="24"/>
                <w:szCs w:val="24"/>
              </w:rPr>
            </w:pPr>
            <w:r>
              <w:rPr>
                <w:rFonts w:hint="eastAsia" w:ascii="黑体" w:hAnsi="黑体" w:eastAsia="黑体"/>
                <w:b/>
                <w:bCs/>
                <w:sz w:val="24"/>
                <w:szCs w:val="24"/>
              </w:rPr>
              <w:t>专栏</w:t>
            </w:r>
            <w:r>
              <w:rPr>
                <w:rFonts w:ascii="黑体" w:hAnsi="黑体" w:eastAsia="黑体"/>
                <w:b/>
                <w:bCs/>
                <w:sz w:val="24"/>
                <w:szCs w:val="24"/>
              </w:rPr>
              <w:t>8</w:t>
            </w:r>
            <w:r>
              <w:rPr>
                <w:rFonts w:hint="eastAsia" w:ascii="黑体" w:hAnsi="黑体" w:eastAsia="黑体"/>
                <w:b/>
                <w:bCs/>
                <w:sz w:val="24"/>
                <w:szCs w:val="24"/>
              </w:rPr>
              <w:t xml:space="preserve"> 智慧揭东重点工程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1.智慧城市工程。</w:t>
            </w:r>
            <w:r>
              <w:rPr>
                <w:rFonts w:hint="eastAsia" w:ascii="楷体" w:hAnsi="楷体" w:eastAsia="楷体" w:cs="楷体"/>
                <w:sz w:val="24"/>
                <w:szCs w:val="24"/>
              </w:rPr>
              <w:t>运用信息技术加快智能城管、智能环卫、智能停车等基础设施建设，提升数字化城市管理水平。加强公共安全区域视频智能感知采集网建设，持续推进“平安揭东”社会治安视频监控高清化、智能化改造，实现全区一类点高清化率100%，基本实现城镇公共安全区域重点部位智能视频监控全域覆盖。打造具有揭东特色的应急管理综合信息平台。</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2.智慧交通工程。</w:t>
            </w:r>
            <w:r>
              <w:rPr>
                <w:rFonts w:hint="eastAsia" w:ascii="楷体" w:hAnsi="楷体" w:eastAsia="楷体" w:cs="楷体"/>
                <w:sz w:val="24"/>
                <w:szCs w:val="24"/>
              </w:rPr>
              <w:t>构建智慧交通管理与服务平台。推进区级综合交通指挥中心建设，实现交通规划、公共交通管理、行业监管、公众出行信息服务等方面信息数据的实时更新与应用。继续优化完善非现场执法监控系统的功能，积极探索“大数据+综合执法”。探索建设智能交通应用示范区。</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3.智慧能源工程。</w:t>
            </w:r>
            <w:r>
              <w:rPr>
                <w:rFonts w:hint="eastAsia" w:ascii="楷体" w:hAnsi="楷体" w:eastAsia="楷体" w:cs="楷体"/>
                <w:sz w:val="24"/>
                <w:szCs w:val="24"/>
              </w:rPr>
              <w:t>推进智能化电力运行监测和管理技术平台建设，适时建设主动配电网、配备配网带电作业机器人、安装新型智能电能表、电动汽车无线充电与电网互动系统，探索建设智慧能源建筑、柔性交直流混合配电网、能源物联网、能源管理平台。</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4.智慧农业工程。</w:t>
            </w:r>
            <w:r>
              <w:rPr>
                <w:rFonts w:hint="eastAsia" w:ascii="楷体" w:hAnsi="楷体" w:eastAsia="楷体" w:cs="楷体"/>
                <w:sz w:val="24"/>
                <w:szCs w:val="24"/>
              </w:rPr>
              <w:t>探索应用现代信息技术，推动农业全产业链改造升级。加快农业信息化示范市建设，实施信息进村入户工程，完善区镇农业综合信息服务平台，为广大农业生产经营者提供全方位信息服务。推进“互联网+”现代农业行动，逐步构建农业资源数据中心、农业生产环境监测系统、产品溯源系统、智能化社区直供销售系统。加快推进电子商务进农村，构建衔接农产品龙头企业、批发市场、配送中心和农资流通企业的新农业电子商务服务体系。</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5.智慧水利工程。</w:t>
            </w:r>
            <w:r>
              <w:rPr>
                <w:rFonts w:hint="eastAsia" w:ascii="楷体" w:hAnsi="楷体" w:eastAsia="楷体" w:cs="楷体"/>
                <w:sz w:val="24"/>
                <w:szCs w:val="24"/>
              </w:rPr>
              <w:t>积极推进智慧水利数据中心、智慧高架视频监控体系和智慧水利监测体系、智慧水利指挥调度中心建设，建立智慧水利实时监控平台。通过互联共享，实现对全区重点涉水工程以及全境水域的实时监管。</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6.智慧物流工程。</w:t>
            </w:r>
            <w:r>
              <w:rPr>
                <w:rFonts w:hint="eastAsia" w:ascii="楷体" w:hAnsi="楷体" w:eastAsia="楷体" w:cs="楷体"/>
                <w:sz w:val="24"/>
                <w:szCs w:val="24"/>
              </w:rPr>
              <w:t>积极推进智能立体交通运输体系、智慧物流园区与现代物流公共服务平台建设，着力打造智慧物流产业链。</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7.智慧环保工程</w:t>
            </w:r>
            <w:r>
              <w:rPr>
                <w:rFonts w:hint="eastAsia" w:ascii="楷体" w:hAnsi="楷体" w:eastAsia="楷体" w:cs="楷体"/>
                <w:sz w:val="24"/>
                <w:szCs w:val="24"/>
              </w:rPr>
              <w:t>。完善区、镇（街）两级环境信息网络平台和信息数据平台，全面加强对重点污染源和污水处理等环保基础设施的监控。</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8.智慧医疗工程。</w:t>
            </w:r>
            <w:r>
              <w:rPr>
                <w:rFonts w:hint="eastAsia" w:ascii="楷体" w:hAnsi="楷体" w:eastAsia="楷体" w:cs="楷体"/>
                <w:sz w:val="24"/>
                <w:szCs w:val="24"/>
              </w:rPr>
              <w:t>加强智慧医院建设，推进线上预约检查检验。大力开展远程医疗服务，全区三甲医院建成互联网医院。推广电子健康码应用，逐步取消医院就诊卡，实现“一码通用”。探索检查结果、线上处方信息等互认制度。规范推广慢性病互联网复诊、互联网健康咨询等模式。加强“互联网+”科普和医学教育服务。</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9.智慧教育工程。</w:t>
            </w:r>
            <w:r>
              <w:rPr>
                <w:rFonts w:hint="eastAsia" w:ascii="楷体" w:hAnsi="楷体" w:eastAsia="楷体" w:cs="楷体"/>
                <w:sz w:val="24"/>
                <w:szCs w:val="24"/>
              </w:rPr>
              <w:t>实施“揭东智慧教育大数据工程”“智慧课堂示范工程”“教育管理信息化提升工程”，建立优质数字教育资源共建和共享环境。推进教育资源公共服务平台建设。引入“平台+教育”服务模式，整合各类教育资源公共服务平台和支持系统，逐步实现资源平台、管理平台的互通、衔接与开放，建成揭东数字教育资源公共服务体系。融合众筹众创，实现数字资源、优秀师资、教育数据、信息红利的有效共享。</w:t>
            </w:r>
          </w:p>
        </w:tc>
      </w:tr>
    </w:tbl>
    <w:p>
      <w:pPr>
        <w:ind w:firstLine="643"/>
      </w:pPr>
      <w:r>
        <w:rPr>
          <w:rFonts w:hint="eastAsia" w:ascii="楷体" w:hAnsi="楷体" w:eastAsia="楷体"/>
          <w:b/>
          <w:bCs/>
        </w:rPr>
        <w:t>加快发展网上服务。</w:t>
      </w:r>
      <w:r>
        <w:rPr>
          <w:rFonts w:hint="eastAsia"/>
        </w:rPr>
        <w:t>开展“互联网+公共服务”，增加网上服务事项，逐步形成网上办理、自助办理和移动平台办理相结合的服务模式。继续整合中小学名校名师资源、电子教材及相关企业优质资源，形成数字化的教育资源供给。加强远程医疗系统建设，推广非急诊全面预约挂号。统筹各类文化资源，利用互联网、移动通讯网、广播电视网等，实施数字图书馆、数字文化社区等重点项目，构建公共数字文化资源库群，方便居民随时随地获取文化资源。</w:t>
      </w:r>
    </w:p>
    <w:p>
      <w:pPr>
        <w:ind w:firstLine="643"/>
      </w:pPr>
      <w:r>
        <w:rPr>
          <w:rFonts w:hint="eastAsia" w:ascii="楷体" w:hAnsi="楷体" w:eastAsia="楷体"/>
          <w:b/>
          <w:bCs/>
        </w:rPr>
        <w:t>加强社区智能服务平台建设。</w:t>
      </w:r>
      <w:r>
        <w:rPr>
          <w:rFonts w:hint="eastAsia"/>
        </w:rPr>
        <w:t>完善“96156”社区服务平台，整合社区数据信息资源，零距离组织开展宣传教育、居民交流、邻里互助等互动式社区活动。搭建社区公共服务信息化平台，对接助老、助残、家政、护理、陪伴等服务需求和供给，提高便利化程度。</w:t>
      </w:r>
    </w:p>
    <w:tbl>
      <w:tblPr>
        <w:tblStyle w:val="2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5"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黑体" w:hAnsi="黑体" w:eastAsia="黑体"/>
                <w:b/>
                <w:bCs/>
                <w:sz w:val="24"/>
                <w:szCs w:val="24"/>
              </w:rPr>
            </w:pPr>
            <w:r>
              <w:rPr>
                <w:rFonts w:hint="eastAsia" w:ascii="黑体" w:hAnsi="黑体" w:eastAsia="黑体"/>
                <w:b/>
                <w:bCs/>
                <w:sz w:val="24"/>
                <w:szCs w:val="24"/>
              </w:rPr>
              <w:t>专栏</w:t>
            </w:r>
            <w:r>
              <w:rPr>
                <w:rFonts w:ascii="黑体" w:hAnsi="黑体" w:eastAsia="黑体"/>
                <w:b/>
                <w:bCs/>
                <w:sz w:val="24"/>
                <w:szCs w:val="24"/>
              </w:rPr>
              <w:t>9</w:t>
            </w:r>
            <w:r>
              <w:rPr>
                <w:rFonts w:hint="eastAsia" w:ascii="黑体" w:hAnsi="黑体" w:eastAsia="黑体"/>
                <w:b/>
                <w:bCs/>
                <w:sz w:val="24"/>
                <w:szCs w:val="24"/>
              </w:rPr>
              <w:t xml:space="preserve"> 揭东区“数字政府”建设工程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380" w:lineRule="exact"/>
              <w:ind w:firstLine="482"/>
              <w:rPr>
                <w:rFonts w:ascii="楷体" w:hAnsi="楷体" w:eastAsia="楷体" w:cs="楷体"/>
                <w:b/>
                <w:bCs/>
                <w:sz w:val="24"/>
                <w:szCs w:val="24"/>
              </w:rPr>
            </w:pPr>
            <w:r>
              <w:rPr>
                <w:rFonts w:hint="eastAsia" w:ascii="楷体" w:hAnsi="楷体" w:eastAsia="楷体" w:cs="楷体"/>
                <w:b/>
                <w:bCs/>
                <w:sz w:val="24"/>
                <w:szCs w:val="24"/>
              </w:rPr>
              <w:t>目标实施分“三步走”。</w:t>
            </w:r>
            <w:r>
              <w:rPr>
                <w:rFonts w:hint="eastAsia" w:ascii="楷体" w:hAnsi="楷体" w:eastAsia="楷体" w:cs="楷体"/>
                <w:sz w:val="24"/>
                <w:szCs w:val="24"/>
              </w:rPr>
              <w:t>第一阶段2020-2021年，夯实基础，补齐短板；第二阶段2022-2023年，重点突破，打造样板；第三阶段2024-2025年，巩固提升，深度发展。</w:t>
            </w:r>
          </w:p>
          <w:p>
            <w:pPr>
              <w:spacing w:line="380" w:lineRule="exact"/>
              <w:ind w:firstLine="482"/>
              <w:rPr>
                <w:rFonts w:ascii="楷体" w:hAnsi="楷体" w:eastAsia="楷体" w:cs="楷体"/>
                <w:b/>
                <w:bCs/>
                <w:sz w:val="24"/>
                <w:szCs w:val="24"/>
              </w:rPr>
            </w:pPr>
            <w:r>
              <w:rPr>
                <w:rFonts w:hint="eastAsia" w:ascii="楷体" w:hAnsi="楷体" w:eastAsia="楷体" w:cs="楷体"/>
                <w:b/>
                <w:bCs/>
                <w:sz w:val="24"/>
                <w:szCs w:val="24"/>
              </w:rPr>
              <w:t>1.五套体系。</w:t>
            </w:r>
            <w:r>
              <w:rPr>
                <w:rFonts w:hint="eastAsia" w:ascii="楷体" w:hAnsi="楷体" w:eastAsia="楷体" w:cs="楷体"/>
                <w:sz w:val="24"/>
                <w:szCs w:val="24"/>
              </w:rPr>
              <w:t>构建互联互通的基础设施体系、汇聚融合的数据资源体系、先进适用的应用支撑体系、可管可控的安全保障体系、持续优化的标准规范体系。</w:t>
            </w:r>
          </w:p>
          <w:p>
            <w:pPr>
              <w:spacing w:line="380" w:lineRule="exact"/>
              <w:ind w:firstLine="482"/>
              <w:rPr>
                <w:rFonts w:ascii="楷体" w:hAnsi="楷体" w:eastAsia="楷体" w:cs="楷体"/>
                <w:sz w:val="24"/>
                <w:szCs w:val="24"/>
              </w:rPr>
            </w:pPr>
            <w:r>
              <w:rPr>
                <w:rFonts w:hint="eastAsia" w:ascii="楷体" w:hAnsi="楷体" w:eastAsia="楷体" w:cs="楷体"/>
                <w:b/>
                <w:bCs/>
                <w:sz w:val="24"/>
                <w:szCs w:val="24"/>
              </w:rPr>
              <w:t>2.四个应用。</w:t>
            </w:r>
            <w:r>
              <w:rPr>
                <w:rFonts w:hint="eastAsia" w:ascii="楷体" w:hAnsi="楷体" w:eastAsia="楷体" w:cs="楷体"/>
                <w:sz w:val="24"/>
                <w:szCs w:val="24"/>
              </w:rPr>
              <w:t>提升政务服务一体化应用、公共服务智能化应用、社会治理协同化应用和宏观决策数字化应用。</w:t>
            </w:r>
          </w:p>
          <w:p>
            <w:pPr>
              <w:spacing w:line="380" w:lineRule="exact"/>
              <w:ind w:firstLine="482"/>
              <w:rPr>
                <w:rFonts w:ascii="楷体" w:hAnsi="楷体" w:eastAsia="楷体" w:cs="楷体"/>
                <w:sz w:val="24"/>
                <w:szCs w:val="24"/>
              </w:rPr>
            </w:pPr>
            <w:r>
              <w:rPr>
                <w:rFonts w:hint="eastAsia" w:ascii="楷体" w:hAnsi="楷体" w:eastAsia="楷体" w:cs="楷体"/>
                <w:b/>
                <w:bCs/>
                <w:sz w:val="24"/>
                <w:szCs w:val="24"/>
              </w:rPr>
              <w:t>3.三级平台。</w:t>
            </w:r>
            <w:r>
              <w:rPr>
                <w:rFonts w:hint="eastAsia" w:ascii="楷体" w:hAnsi="楷体" w:eastAsia="楷体" w:cs="楷体"/>
                <w:sz w:val="24"/>
                <w:szCs w:val="24"/>
              </w:rPr>
              <w:t>按统一的服务标准和规范构建的区、镇(街道)、村(社区)三级政务服务平台。</w:t>
            </w:r>
          </w:p>
          <w:p>
            <w:pPr>
              <w:spacing w:line="380" w:lineRule="exact"/>
              <w:ind w:firstLine="482"/>
              <w:rPr>
                <w:rFonts w:ascii="楷体" w:hAnsi="楷体" w:eastAsia="楷体" w:cs="楷体"/>
                <w:sz w:val="24"/>
                <w:szCs w:val="24"/>
              </w:rPr>
            </w:pPr>
            <w:r>
              <w:rPr>
                <w:rFonts w:hint="eastAsia" w:ascii="楷体" w:hAnsi="楷体" w:eastAsia="楷体" w:cs="楷体"/>
                <w:b/>
                <w:bCs/>
                <w:sz w:val="24"/>
                <w:szCs w:val="24"/>
              </w:rPr>
              <w:t>4.两大创新。</w:t>
            </w:r>
            <w:r>
              <w:rPr>
                <w:rFonts w:hint="eastAsia" w:ascii="楷体" w:hAnsi="楷体" w:eastAsia="楷体" w:cs="楷体"/>
                <w:sz w:val="24"/>
                <w:szCs w:val="24"/>
              </w:rPr>
              <w:t>推进制度创新和技术创新，探索创新揭东区“数字政府”建设管理模式和运行机制。</w:t>
            </w:r>
          </w:p>
          <w:p>
            <w:pPr>
              <w:spacing w:before="93" w:beforeLines="30" w:after="93" w:afterLines="30" w:line="320" w:lineRule="exact"/>
              <w:ind w:left="64" w:leftChars="20" w:right="64" w:rightChars="20" w:firstLine="482"/>
              <w:rPr>
                <w:rFonts w:ascii="楷体" w:hAnsi="楷体" w:eastAsia="楷体" w:cs="楷体"/>
                <w:sz w:val="24"/>
                <w:szCs w:val="24"/>
              </w:rPr>
            </w:pPr>
            <w:r>
              <w:rPr>
                <w:rFonts w:hint="eastAsia" w:ascii="楷体" w:hAnsi="楷体" w:eastAsia="楷体" w:cs="楷体"/>
                <w:b/>
                <w:bCs/>
                <w:sz w:val="24"/>
                <w:szCs w:val="24"/>
              </w:rPr>
              <w:t>5.一条主线。</w:t>
            </w:r>
            <w:r>
              <w:rPr>
                <w:rFonts w:hint="eastAsia" w:ascii="楷体" w:hAnsi="楷体" w:eastAsia="楷体" w:cs="楷体"/>
                <w:sz w:val="24"/>
                <w:szCs w:val="24"/>
              </w:rPr>
              <w:t>以推动营商环境和民生不断改善，推进政府治理体系和治理能力现代化作为揭东区“数字政府”建设总规划的主线。</w:t>
            </w:r>
          </w:p>
        </w:tc>
      </w:tr>
    </w:tbl>
    <w:p>
      <w:pPr>
        <w:ind w:firstLine="640"/>
      </w:pPr>
    </w:p>
    <w:p>
      <w:pPr>
        <w:ind w:firstLine="640"/>
      </w:pPr>
    </w:p>
    <w:p>
      <w:pPr>
        <w:pStyle w:val="2"/>
      </w:pPr>
      <w:bookmarkStart w:id="124" w:name="_Toc85620570"/>
      <w:r>
        <w:rPr>
          <w:rFonts w:hint="eastAsia"/>
        </w:rPr>
        <w:t>十四、规划实施保障</w:t>
      </w:r>
      <w:bookmarkEnd w:id="124"/>
    </w:p>
    <w:p>
      <w:pPr>
        <w:pStyle w:val="3"/>
      </w:pPr>
      <w:bookmarkStart w:id="125" w:name="_Toc85620571"/>
      <w:r>
        <w:rPr>
          <w:rFonts w:hint="eastAsia" w:ascii="仿宋" w:hAnsi="仿宋" w:eastAsia="仿宋"/>
        </w:rPr>
        <w:t>（一）</w:t>
      </w:r>
      <w:r>
        <w:rPr>
          <w:rFonts w:hint="eastAsia"/>
        </w:rPr>
        <w:t>强化责任落实</w:t>
      </w:r>
      <w:bookmarkEnd w:id="125"/>
    </w:p>
    <w:p>
      <w:pPr>
        <w:ind w:firstLine="640"/>
        <w:rPr>
          <w:rFonts w:ascii="仿宋" w:hAnsi="仿宋"/>
          <w:szCs w:val="32"/>
        </w:rPr>
      </w:pPr>
      <w:r>
        <w:rPr>
          <w:rFonts w:hint="eastAsia" w:ascii="仿宋" w:hAnsi="仿宋"/>
          <w:szCs w:val="32"/>
        </w:rPr>
        <w:t>全面落实本规划确定的各项目标、任务，研究制定分工方案，明确牵头单位和工作责任，细化年度任务和工作目标，完善规划落实的监督考核机制。在编制社会发展相关领域专项建设规划或行动计划时，应与本规划有关内容做好衔接。发挥好重大项目对规划落实的支撑作用，坚持以规划确定项目、以项目落实规划。加强项目储备，并建立健全重大项目推进机制，加快项目实施。</w:t>
      </w:r>
    </w:p>
    <w:p>
      <w:pPr>
        <w:pStyle w:val="3"/>
      </w:pPr>
      <w:bookmarkStart w:id="126" w:name="_Toc85620572"/>
      <w:r>
        <w:rPr>
          <w:rFonts w:hint="eastAsia"/>
        </w:rPr>
        <w:t>（二）加强资金保障</w:t>
      </w:r>
      <w:bookmarkEnd w:id="126"/>
    </w:p>
    <w:p>
      <w:pPr>
        <w:ind w:firstLine="640"/>
        <w:rPr>
          <w:rFonts w:ascii="仿宋" w:hAnsi="仿宋"/>
          <w:szCs w:val="32"/>
        </w:rPr>
      </w:pPr>
      <w:r>
        <w:rPr>
          <w:rFonts w:hint="eastAsia" w:ascii="仿宋" w:hAnsi="仿宋"/>
          <w:szCs w:val="32"/>
        </w:rPr>
        <w:t>健全政府投入持续稳定增长机制，公共财政优先安排用于社会基本公共服务，保障规划项目实施。健全社会基本公共服务支出责任分担机制，进一步明确各级政府事权和支出责任，完善转移支付制度，切实增强各级财政特别是基层财政提供基本公共服务的保障能力。拓宽融资渠道，充分利用中央预算、专项建设基金、慈善捐赠、彩票公益金等方式，提高保障能力。深化社会公共服务领域投融资体制改革，充分发挥政府投资的引导作用和放大效应，大力推进政府和社会资本合作，加大政府购买公共服务力度，促进民间投资积极参与社会基本公共服务供给。</w:t>
      </w:r>
    </w:p>
    <w:p>
      <w:pPr>
        <w:pStyle w:val="3"/>
      </w:pPr>
      <w:bookmarkStart w:id="127" w:name="_Toc85620573"/>
      <w:r>
        <w:rPr>
          <w:rFonts w:hint="eastAsia"/>
        </w:rPr>
        <w:t>（三）实施监测评估</w:t>
      </w:r>
      <w:bookmarkEnd w:id="127"/>
    </w:p>
    <w:p>
      <w:pPr>
        <w:ind w:firstLine="640"/>
        <w:rPr>
          <w:rFonts w:ascii="仿宋" w:hAnsi="仿宋"/>
          <w:szCs w:val="32"/>
        </w:rPr>
      </w:pPr>
      <w:r>
        <w:rPr>
          <w:rFonts w:hint="eastAsia" w:ascii="仿宋" w:hAnsi="仿宋"/>
          <w:szCs w:val="32"/>
        </w:rPr>
        <w:t>建立社会基本公共服务发展监测评估机制，完善社会基本公共服务信息收集和动态跟踪监测制度，开展社会基本公共服务发展水平综合评价。区有关部门和各区政府按照职责分工，监测本领域、本区域社会基本公共服务主要发展目标、指标进展情况和重大任务完成情况。加强第三方评估，积极听取社会各界对规划实施的意见和建议。区发展改革委牵头组织开展规划中期评估。根据中期评估等情况，需要对主要发展目标、指标进行修订的，由区发展改革局提出建议，报区政府审定。</w:t>
      </w: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360" w:lineRule="auto"/>
        <w:ind w:firstLine="640"/>
      </w:pPr>
      <w:r>
        <w:separator/>
      </w:r>
    </w:p>
  </w:footnote>
  <w:footnote w:type="continuationSeparator" w:id="9">
    <w:p>
      <w:pPr>
        <w:spacing w:line="360" w:lineRule="auto"/>
        <w:ind w:firstLine="640"/>
      </w:pPr>
      <w:r>
        <w:continuationSeparator/>
      </w:r>
    </w:p>
  </w:footnote>
  <w:footnote w:id="0">
    <w:p>
      <w:pPr>
        <w:pStyle w:val="18"/>
        <w:ind w:firstLine="360"/>
      </w:pPr>
      <w:r>
        <w:rPr>
          <w:rStyle w:val="26"/>
        </w:rPr>
        <w:footnoteRef/>
      </w:r>
      <w:r>
        <w:t xml:space="preserve"> </w:t>
      </w:r>
      <w:r>
        <w:rPr>
          <w:rFonts w:hint="eastAsia"/>
          <w:color w:val="000000"/>
          <w:kern w:val="0"/>
          <w:szCs w:val="32"/>
        </w:rPr>
        <w:t>1个总馆+</w:t>
      </w:r>
      <w:r>
        <w:rPr>
          <w:color w:val="000000"/>
          <w:kern w:val="0"/>
          <w:szCs w:val="32"/>
        </w:rPr>
        <w:t>8</w:t>
      </w:r>
      <w:r>
        <w:rPr>
          <w:rFonts w:hint="eastAsia"/>
          <w:color w:val="000000"/>
          <w:kern w:val="0"/>
          <w:szCs w:val="32"/>
        </w:rPr>
        <w:t>个分馆（7个镇文化馆+</w:t>
      </w:r>
      <w:r>
        <w:rPr>
          <w:color w:val="000000"/>
          <w:kern w:val="0"/>
          <w:szCs w:val="32"/>
        </w:rPr>
        <w:t>1</w:t>
      </w:r>
      <w:r>
        <w:rPr>
          <w:rFonts w:hint="eastAsia"/>
          <w:color w:val="000000"/>
          <w:kern w:val="0"/>
          <w:szCs w:val="32"/>
        </w:rPr>
        <w:t>个特色馆）+</w:t>
      </w:r>
      <w:r>
        <w:rPr>
          <w:color w:val="000000"/>
          <w:kern w:val="0"/>
          <w:szCs w:val="32"/>
        </w:rPr>
        <w:t>21</w:t>
      </w:r>
      <w:r>
        <w:rPr>
          <w:rFonts w:hint="eastAsia"/>
          <w:color w:val="000000"/>
          <w:kern w:val="0"/>
          <w:szCs w:val="32"/>
        </w:rPr>
        <w:t>个服务点（2</w:t>
      </w:r>
      <w:r>
        <w:rPr>
          <w:color w:val="000000"/>
          <w:kern w:val="0"/>
          <w:szCs w:val="32"/>
        </w:rPr>
        <w:t>1</w:t>
      </w:r>
      <w:r>
        <w:rPr>
          <w:rFonts w:hint="eastAsia"/>
          <w:color w:val="000000"/>
          <w:kern w:val="0"/>
          <w:szCs w:val="32"/>
        </w:rPr>
        <w:t>个村级综合文化服务中心）设</w:t>
      </w:r>
    </w:p>
  </w:footnote>
  <w:footnote w:id="1">
    <w:p>
      <w:pPr>
        <w:pStyle w:val="18"/>
        <w:ind w:firstLine="360"/>
      </w:pPr>
      <w:r>
        <w:rPr>
          <w:rStyle w:val="26"/>
        </w:rPr>
        <w:footnoteRef/>
      </w:r>
      <w:r>
        <w:t xml:space="preserve"> </w:t>
      </w:r>
      <w:r>
        <w:rPr>
          <w:rFonts w:hint="eastAsia"/>
          <w:color w:val="000000"/>
          <w:kern w:val="0"/>
          <w:szCs w:val="32"/>
        </w:rPr>
        <w:t>1个总馆（增设区老干局分馆和美斯学谷分馆）+</w:t>
      </w:r>
      <w:r>
        <w:rPr>
          <w:color w:val="000000"/>
          <w:kern w:val="0"/>
          <w:szCs w:val="32"/>
        </w:rPr>
        <w:t>7</w:t>
      </w:r>
      <w:r>
        <w:rPr>
          <w:rFonts w:hint="eastAsia"/>
          <w:color w:val="000000"/>
          <w:kern w:val="0"/>
          <w:szCs w:val="32"/>
        </w:rPr>
        <w:t>个分馆（7个镇文化站）+</w:t>
      </w:r>
      <w:r>
        <w:rPr>
          <w:color w:val="000000"/>
          <w:kern w:val="0"/>
          <w:szCs w:val="32"/>
        </w:rPr>
        <w:t>21</w:t>
      </w:r>
      <w:r>
        <w:rPr>
          <w:rFonts w:hint="eastAsia"/>
          <w:color w:val="000000"/>
          <w:kern w:val="0"/>
          <w:szCs w:val="32"/>
        </w:rPr>
        <w:t>个服务点（2</w:t>
      </w:r>
      <w:r>
        <w:rPr>
          <w:color w:val="000000"/>
          <w:kern w:val="0"/>
          <w:szCs w:val="32"/>
        </w:rPr>
        <w:t>1</w:t>
      </w:r>
      <w:r>
        <w:rPr>
          <w:rFonts w:hint="eastAsia"/>
          <w:color w:val="000000"/>
          <w:kern w:val="0"/>
          <w:szCs w:val="32"/>
        </w:rPr>
        <w:t>个村级综合文化服务中心）</w:t>
      </w:r>
    </w:p>
    <w:p>
      <w:pPr>
        <w:pStyle w:val="18"/>
        <w:ind w:firstLine="360"/>
      </w:pPr>
    </w:p>
  </w:footnote>
  <w:footnote w:id="2">
    <w:p>
      <w:pPr>
        <w:pStyle w:val="18"/>
        <w:ind w:firstLine="360"/>
      </w:pPr>
      <w:r>
        <w:rPr>
          <w:rStyle w:val="26"/>
        </w:rPr>
        <w:footnoteRef/>
      </w:r>
      <w:r>
        <w:t xml:space="preserve"> 2020</w:t>
      </w:r>
      <w:r>
        <w:rPr>
          <w:rFonts w:hint="eastAsia"/>
        </w:rPr>
        <w:t>年揭东区拥有大学(指大专及以上)文化程度的人口</w:t>
      </w:r>
      <w:r>
        <w:t>42640</w:t>
      </w:r>
      <w:r>
        <w:rPr>
          <w:rFonts w:hint="eastAsia"/>
        </w:rPr>
        <w:t>人，占全区常住人口（931719人）比例为4</w:t>
      </w:r>
      <w:r>
        <w:t>.6</w:t>
      </w:r>
      <w:r>
        <w:rPr>
          <w:rFonts w:hint="eastAsia"/>
        </w:rPr>
        <w:t>%，低于全国拥有大学（指大专及以上）文化程度的人口为218360767人，占总人口（141178万人）比例为1</w:t>
      </w:r>
      <w:r>
        <w:t>5.5</w:t>
      </w:r>
      <w:r>
        <w:rPr>
          <w:rFonts w:hint="eastAsia"/>
        </w:rPr>
        <w:t>%。</w:t>
      </w:r>
    </w:p>
  </w:footnote>
  <w:footnote w:id="3">
    <w:p>
      <w:pPr>
        <w:pStyle w:val="18"/>
        <w:ind w:firstLine="360"/>
      </w:pPr>
      <w:r>
        <w:rPr>
          <w:rStyle w:val="26"/>
        </w:rPr>
        <w:footnoteRef/>
      </w:r>
      <w:r>
        <w:t xml:space="preserve"> </w:t>
      </w:r>
      <w:r>
        <w:rPr>
          <w:color w:val="000000"/>
        </w:rPr>
        <w:t>按照动态管理原则，持续做好贫困户住房安全保障工作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wZTUyMDdkNmVmNDNjM2MzYTRiNGQ2Mzc3MzY3MDUifQ=="/>
  </w:docVars>
  <w:rsids>
    <w:rsidRoot w:val="00BF6B97"/>
    <w:rsid w:val="000001D6"/>
    <w:rsid w:val="000017A0"/>
    <w:rsid w:val="000047CB"/>
    <w:rsid w:val="00007EBC"/>
    <w:rsid w:val="000100D7"/>
    <w:rsid w:val="0001108B"/>
    <w:rsid w:val="0001164A"/>
    <w:rsid w:val="000116C5"/>
    <w:rsid w:val="0001797E"/>
    <w:rsid w:val="00020E2B"/>
    <w:rsid w:val="00020FC9"/>
    <w:rsid w:val="00021066"/>
    <w:rsid w:val="000218C2"/>
    <w:rsid w:val="00021C88"/>
    <w:rsid w:val="00023923"/>
    <w:rsid w:val="000240C5"/>
    <w:rsid w:val="00026AE1"/>
    <w:rsid w:val="000279D8"/>
    <w:rsid w:val="00030746"/>
    <w:rsid w:val="00032C03"/>
    <w:rsid w:val="000348E6"/>
    <w:rsid w:val="0003646C"/>
    <w:rsid w:val="00037F8D"/>
    <w:rsid w:val="00041D3A"/>
    <w:rsid w:val="0004278C"/>
    <w:rsid w:val="00045DF5"/>
    <w:rsid w:val="00046F10"/>
    <w:rsid w:val="00047E3E"/>
    <w:rsid w:val="00051F97"/>
    <w:rsid w:val="000536FC"/>
    <w:rsid w:val="00053E7F"/>
    <w:rsid w:val="00057D64"/>
    <w:rsid w:val="000605B9"/>
    <w:rsid w:val="00060E92"/>
    <w:rsid w:val="00062C46"/>
    <w:rsid w:val="0006583C"/>
    <w:rsid w:val="000667EB"/>
    <w:rsid w:val="00067385"/>
    <w:rsid w:val="000674D6"/>
    <w:rsid w:val="0006765A"/>
    <w:rsid w:val="00071545"/>
    <w:rsid w:val="0007195C"/>
    <w:rsid w:val="0007304E"/>
    <w:rsid w:val="000749BA"/>
    <w:rsid w:val="000800E7"/>
    <w:rsid w:val="00081CEF"/>
    <w:rsid w:val="00083C39"/>
    <w:rsid w:val="00084445"/>
    <w:rsid w:val="00084F3D"/>
    <w:rsid w:val="000868A1"/>
    <w:rsid w:val="00086CB8"/>
    <w:rsid w:val="00086D1F"/>
    <w:rsid w:val="0008747C"/>
    <w:rsid w:val="000901AC"/>
    <w:rsid w:val="00091EF5"/>
    <w:rsid w:val="00092178"/>
    <w:rsid w:val="00092BB7"/>
    <w:rsid w:val="0009304C"/>
    <w:rsid w:val="0009319E"/>
    <w:rsid w:val="0009385B"/>
    <w:rsid w:val="0009399A"/>
    <w:rsid w:val="00093B06"/>
    <w:rsid w:val="000945AD"/>
    <w:rsid w:val="00095DF0"/>
    <w:rsid w:val="000A091A"/>
    <w:rsid w:val="000A1308"/>
    <w:rsid w:val="000A3EB9"/>
    <w:rsid w:val="000A44EF"/>
    <w:rsid w:val="000A5356"/>
    <w:rsid w:val="000A78CB"/>
    <w:rsid w:val="000A7F13"/>
    <w:rsid w:val="000B021E"/>
    <w:rsid w:val="000B154B"/>
    <w:rsid w:val="000B3DB3"/>
    <w:rsid w:val="000B4604"/>
    <w:rsid w:val="000B48EC"/>
    <w:rsid w:val="000B57F2"/>
    <w:rsid w:val="000B5E73"/>
    <w:rsid w:val="000B6FC8"/>
    <w:rsid w:val="000C02C5"/>
    <w:rsid w:val="000C21C9"/>
    <w:rsid w:val="000C26A9"/>
    <w:rsid w:val="000C485C"/>
    <w:rsid w:val="000C6B9D"/>
    <w:rsid w:val="000C6EB2"/>
    <w:rsid w:val="000C7FBC"/>
    <w:rsid w:val="000D262A"/>
    <w:rsid w:val="000D4144"/>
    <w:rsid w:val="000D60B5"/>
    <w:rsid w:val="000D615C"/>
    <w:rsid w:val="000D7189"/>
    <w:rsid w:val="000E052F"/>
    <w:rsid w:val="000E09DA"/>
    <w:rsid w:val="000E0B46"/>
    <w:rsid w:val="000E0C37"/>
    <w:rsid w:val="000E11CB"/>
    <w:rsid w:val="000E4627"/>
    <w:rsid w:val="000E70B6"/>
    <w:rsid w:val="000F0CA2"/>
    <w:rsid w:val="000F422E"/>
    <w:rsid w:val="000F567C"/>
    <w:rsid w:val="000F7AA7"/>
    <w:rsid w:val="001007D6"/>
    <w:rsid w:val="00101DC1"/>
    <w:rsid w:val="00102BB2"/>
    <w:rsid w:val="00103656"/>
    <w:rsid w:val="00103A97"/>
    <w:rsid w:val="00104218"/>
    <w:rsid w:val="00104A6F"/>
    <w:rsid w:val="001059DC"/>
    <w:rsid w:val="00106D62"/>
    <w:rsid w:val="00110143"/>
    <w:rsid w:val="00110B5A"/>
    <w:rsid w:val="00112799"/>
    <w:rsid w:val="00113031"/>
    <w:rsid w:val="00114CED"/>
    <w:rsid w:val="001162AA"/>
    <w:rsid w:val="0011652B"/>
    <w:rsid w:val="0011705C"/>
    <w:rsid w:val="00120820"/>
    <w:rsid w:val="00120BB8"/>
    <w:rsid w:val="00120EAC"/>
    <w:rsid w:val="00121D2A"/>
    <w:rsid w:val="00121FAE"/>
    <w:rsid w:val="00122666"/>
    <w:rsid w:val="001238B5"/>
    <w:rsid w:val="00124B4D"/>
    <w:rsid w:val="00124DE1"/>
    <w:rsid w:val="00126A44"/>
    <w:rsid w:val="00126D17"/>
    <w:rsid w:val="00127F7B"/>
    <w:rsid w:val="00131A28"/>
    <w:rsid w:val="001348CE"/>
    <w:rsid w:val="00135D65"/>
    <w:rsid w:val="00140AD9"/>
    <w:rsid w:val="00140F8B"/>
    <w:rsid w:val="00141F68"/>
    <w:rsid w:val="00144688"/>
    <w:rsid w:val="0014522F"/>
    <w:rsid w:val="00145FF5"/>
    <w:rsid w:val="00146B41"/>
    <w:rsid w:val="00150730"/>
    <w:rsid w:val="001511AF"/>
    <w:rsid w:val="00151B39"/>
    <w:rsid w:val="001533C2"/>
    <w:rsid w:val="00154A3B"/>
    <w:rsid w:val="00160AD7"/>
    <w:rsid w:val="00160CF3"/>
    <w:rsid w:val="00161739"/>
    <w:rsid w:val="00163A57"/>
    <w:rsid w:val="0016462D"/>
    <w:rsid w:val="00164FB8"/>
    <w:rsid w:val="00165BC2"/>
    <w:rsid w:val="00165D26"/>
    <w:rsid w:val="00170339"/>
    <w:rsid w:val="00171BD5"/>
    <w:rsid w:val="00171C1E"/>
    <w:rsid w:val="00172764"/>
    <w:rsid w:val="00172A11"/>
    <w:rsid w:val="001751C3"/>
    <w:rsid w:val="00175644"/>
    <w:rsid w:val="00176093"/>
    <w:rsid w:val="0017690D"/>
    <w:rsid w:val="00181416"/>
    <w:rsid w:val="0018250A"/>
    <w:rsid w:val="0018355D"/>
    <w:rsid w:val="00183597"/>
    <w:rsid w:val="00186185"/>
    <w:rsid w:val="001876D2"/>
    <w:rsid w:val="0019118D"/>
    <w:rsid w:val="001914D0"/>
    <w:rsid w:val="00192B98"/>
    <w:rsid w:val="001954B3"/>
    <w:rsid w:val="001A0505"/>
    <w:rsid w:val="001A1CC3"/>
    <w:rsid w:val="001A24AB"/>
    <w:rsid w:val="001A3186"/>
    <w:rsid w:val="001A3A9D"/>
    <w:rsid w:val="001A3D6F"/>
    <w:rsid w:val="001A3E49"/>
    <w:rsid w:val="001A4F31"/>
    <w:rsid w:val="001A56E6"/>
    <w:rsid w:val="001A6383"/>
    <w:rsid w:val="001A64D9"/>
    <w:rsid w:val="001A722D"/>
    <w:rsid w:val="001A79BA"/>
    <w:rsid w:val="001B1B90"/>
    <w:rsid w:val="001B30FD"/>
    <w:rsid w:val="001B350F"/>
    <w:rsid w:val="001B719F"/>
    <w:rsid w:val="001C06F8"/>
    <w:rsid w:val="001C1EF3"/>
    <w:rsid w:val="001C2413"/>
    <w:rsid w:val="001C552D"/>
    <w:rsid w:val="001C616D"/>
    <w:rsid w:val="001C7565"/>
    <w:rsid w:val="001C7F83"/>
    <w:rsid w:val="001D023D"/>
    <w:rsid w:val="001D3224"/>
    <w:rsid w:val="001D3AA2"/>
    <w:rsid w:val="001D3B07"/>
    <w:rsid w:val="001D4A2B"/>
    <w:rsid w:val="001E0189"/>
    <w:rsid w:val="001E37ED"/>
    <w:rsid w:val="001E4453"/>
    <w:rsid w:val="001E4456"/>
    <w:rsid w:val="001E53B8"/>
    <w:rsid w:val="001F03CA"/>
    <w:rsid w:val="001F0A05"/>
    <w:rsid w:val="001F0CA0"/>
    <w:rsid w:val="001F17DE"/>
    <w:rsid w:val="001F278B"/>
    <w:rsid w:val="001F3BC8"/>
    <w:rsid w:val="001F49AE"/>
    <w:rsid w:val="001F4B4D"/>
    <w:rsid w:val="001F576E"/>
    <w:rsid w:val="001F5B31"/>
    <w:rsid w:val="001F5CC8"/>
    <w:rsid w:val="001F7326"/>
    <w:rsid w:val="001F771C"/>
    <w:rsid w:val="002016EF"/>
    <w:rsid w:val="00201C4E"/>
    <w:rsid w:val="00202AB4"/>
    <w:rsid w:val="00202F0F"/>
    <w:rsid w:val="002039BB"/>
    <w:rsid w:val="002069F5"/>
    <w:rsid w:val="0020778C"/>
    <w:rsid w:val="00210180"/>
    <w:rsid w:val="002103C1"/>
    <w:rsid w:val="00210747"/>
    <w:rsid w:val="002113B5"/>
    <w:rsid w:val="00214BBF"/>
    <w:rsid w:val="002151B0"/>
    <w:rsid w:val="00215AF0"/>
    <w:rsid w:val="00215C74"/>
    <w:rsid w:val="00223FB9"/>
    <w:rsid w:val="00224B92"/>
    <w:rsid w:val="00225CDC"/>
    <w:rsid w:val="0022616F"/>
    <w:rsid w:val="00226EA3"/>
    <w:rsid w:val="00233781"/>
    <w:rsid w:val="002356CA"/>
    <w:rsid w:val="002356E4"/>
    <w:rsid w:val="002425AF"/>
    <w:rsid w:val="00243613"/>
    <w:rsid w:val="0024388A"/>
    <w:rsid w:val="002456EB"/>
    <w:rsid w:val="00245E9B"/>
    <w:rsid w:val="00246603"/>
    <w:rsid w:val="0024753F"/>
    <w:rsid w:val="00250760"/>
    <w:rsid w:val="002514F6"/>
    <w:rsid w:val="002522B8"/>
    <w:rsid w:val="002523AE"/>
    <w:rsid w:val="00254A6A"/>
    <w:rsid w:val="00254CE0"/>
    <w:rsid w:val="00254EF8"/>
    <w:rsid w:val="0025507B"/>
    <w:rsid w:val="002551C0"/>
    <w:rsid w:val="002612DE"/>
    <w:rsid w:val="00263A3E"/>
    <w:rsid w:val="00263A49"/>
    <w:rsid w:val="00265783"/>
    <w:rsid w:val="0026655A"/>
    <w:rsid w:val="00267304"/>
    <w:rsid w:val="0027078A"/>
    <w:rsid w:val="0027306C"/>
    <w:rsid w:val="00274B84"/>
    <w:rsid w:val="00275FB7"/>
    <w:rsid w:val="00277A4A"/>
    <w:rsid w:val="002829BD"/>
    <w:rsid w:val="00282AE5"/>
    <w:rsid w:val="00282F14"/>
    <w:rsid w:val="00283E15"/>
    <w:rsid w:val="00285F1D"/>
    <w:rsid w:val="002864C6"/>
    <w:rsid w:val="002866FE"/>
    <w:rsid w:val="00290D3F"/>
    <w:rsid w:val="002920D7"/>
    <w:rsid w:val="00293C0E"/>
    <w:rsid w:val="00296C80"/>
    <w:rsid w:val="002A1698"/>
    <w:rsid w:val="002A1FAE"/>
    <w:rsid w:val="002A5498"/>
    <w:rsid w:val="002A5924"/>
    <w:rsid w:val="002A5D4B"/>
    <w:rsid w:val="002B10AB"/>
    <w:rsid w:val="002B7942"/>
    <w:rsid w:val="002C0102"/>
    <w:rsid w:val="002C12FE"/>
    <w:rsid w:val="002C1607"/>
    <w:rsid w:val="002C3182"/>
    <w:rsid w:val="002C34A8"/>
    <w:rsid w:val="002C4060"/>
    <w:rsid w:val="002C75CD"/>
    <w:rsid w:val="002C7DC6"/>
    <w:rsid w:val="002D101B"/>
    <w:rsid w:val="002D23D2"/>
    <w:rsid w:val="002D30B6"/>
    <w:rsid w:val="002D4FB9"/>
    <w:rsid w:val="002D54EF"/>
    <w:rsid w:val="002D5C3C"/>
    <w:rsid w:val="002D5E64"/>
    <w:rsid w:val="002D5EA8"/>
    <w:rsid w:val="002D7349"/>
    <w:rsid w:val="002E383C"/>
    <w:rsid w:val="002E3857"/>
    <w:rsid w:val="002E393C"/>
    <w:rsid w:val="002E3C98"/>
    <w:rsid w:val="002E5BE8"/>
    <w:rsid w:val="002E7E6F"/>
    <w:rsid w:val="002F067F"/>
    <w:rsid w:val="002F2100"/>
    <w:rsid w:val="002F34CF"/>
    <w:rsid w:val="002F3CA2"/>
    <w:rsid w:val="002F7DD4"/>
    <w:rsid w:val="00300686"/>
    <w:rsid w:val="00300A27"/>
    <w:rsid w:val="0030250D"/>
    <w:rsid w:val="00304500"/>
    <w:rsid w:val="00304834"/>
    <w:rsid w:val="00307FEE"/>
    <w:rsid w:val="003107A2"/>
    <w:rsid w:val="00312FC8"/>
    <w:rsid w:val="003137D0"/>
    <w:rsid w:val="00313C4C"/>
    <w:rsid w:val="00314CEF"/>
    <w:rsid w:val="0031538A"/>
    <w:rsid w:val="00315CF1"/>
    <w:rsid w:val="00322AFD"/>
    <w:rsid w:val="00322E41"/>
    <w:rsid w:val="00323222"/>
    <w:rsid w:val="00323576"/>
    <w:rsid w:val="00327312"/>
    <w:rsid w:val="003300DB"/>
    <w:rsid w:val="003301AF"/>
    <w:rsid w:val="0033265F"/>
    <w:rsid w:val="0033534F"/>
    <w:rsid w:val="003406B0"/>
    <w:rsid w:val="00341658"/>
    <w:rsid w:val="00343FC7"/>
    <w:rsid w:val="003444EC"/>
    <w:rsid w:val="003451D7"/>
    <w:rsid w:val="003456C5"/>
    <w:rsid w:val="00347004"/>
    <w:rsid w:val="00347178"/>
    <w:rsid w:val="00351187"/>
    <w:rsid w:val="003524F7"/>
    <w:rsid w:val="003554B2"/>
    <w:rsid w:val="003554FF"/>
    <w:rsid w:val="00356B3A"/>
    <w:rsid w:val="00356BC4"/>
    <w:rsid w:val="00356FA3"/>
    <w:rsid w:val="0035710F"/>
    <w:rsid w:val="00357151"/>
    <w:rsid w:val="003575A9"/>
    <w:rsid w:val="00360710"/>
    <w:rsid w:val="00361DB7"/>
    <w:rsid w:val="00362D73"/>
    <w:rsid w:val="0036688D"/>
    <w:rsid w:val="00370718"/>
    <w:rsid w:val="00371EFC"/>
    <w:rsid w:val="003757EC"/>
    <w:rsid w:val="00375E54"/>
    <w:rsid w:val="00375FD0"/>
    <w:rsid w:val="00376CF2"/>
    <w:rsid w:val="00380AC5"/>
    <w:rsid w:val="00381109"/>
    <w:rsid w:val="00381FF0"/>
    <w:rsid w:val="003841AA"/>
    <w:rsid w:val="00384EB6"/>
    <w:rsid w:val="00386D55"/>
    <w:rsid w:val="003937B5"/>
    <w:rsid w:val="00394735"/>
    <w:rsid w:val="003969CE"/>
    <w:rsid w:val="003A04F3"/>
    <w:rsid w:val="003A1C36"/>
    <w:rsid w:val="003A2371"/>
    <w:rsid w:val="003A2CE0"/>
    <w:rsid w:val="003A2E60"/>
    <w:rsid w:val="003A354D"/>
    <w:rsid w:val="003A70F5"/>
    <w:rsid w:val="003A7299"/>
    <w:rsid w:val="003B01F6"/>
    <w:rsid w:val="003B3CE0"/>
    <w:rsid w:val="003B44A4"/>
    <w:rsid w:val="003B5A1C"/>
    <w:rsid w:val="003B7194"/>
    <w:rsid w:val="003C02C0"/>
    <w:rsid w:val="003C0B14"/>
    <w:rsid w:val="003C0F1D"/>
    <w:rsid w:val="003C13A4"/>
    <w:rsid w:val="003C13BF"/>
    <w:rsid w:val="003C277F"/>
    <w:rsid w:val="003C33A7"/>
    <w:rsid w:val="003C35CB"/>
    <w:rsid w:val="003C7883"/>
    <w:rsid w:val="003C7D40"/>
    <w:rsid w:val="003D024A"/>
    <w:rsid w:val="003D0355"/>
    <w:rsid w:val="003D04CE"/>
    <w:rsid w:val="003D2AB2"/>
    <w:rsid w:val="003D59FC"/>
    <w:rsid w:val="003D618F"/>
    <w:rsid w:val="003D74AF"/>
    <w:rsid w:val="003E0ED0"/>
    <w:rsid w:val="003E1884"/>
    <w:rsid w:val="003E2448"/>
    <w:rsid w:val="003E25FB"/>
    <w:rsid w:val="003E2651"/>
    <w:rsid w:val="003E4267"/>
    <w:rsid w:val="003E4682"/>
    <w:rsid w:val="003E4FF0"/>
    <w:rsid w:val="003E757B"/>
    <w:rsid w:val="003F0620"/>
    <w:rsid w:val="003F13B0"/>
    <w:rsid w:val="003F1790"/>
    <w:rsid w:val="003F25F6"/>
    <w:rsid w:val="003F5B81"/>
    <w:rsid w:val="003F66BC"/>
    <w:rsid w:val="003F6EA5"/>
    <w:rsid w:val="003F7A88"/>
    <w:rsid w:val="004000EF"/>
    <w:rsid w:val="00401384"/>
    <w:rsid w:val="00401897"/>
    <w:rsid w:val="00401C31"/>
    <w:rsid w:val="00401D18"/>
    <w:rsid w:val="004022FF"/>
    <w:rsid w:val="0040307E"/>
    <w:rsid w:val="00404E0F"/>
    <w:rsid w:val="004054BD"/>
    <w:rsid w:val="00407405"/>
    <w:rsid w:val="0041136C"/>
    <w:rsid w:val="0041327D"/>
    <w:rsid w:val="0041627C"/>
    <w:rsid w:val="00416EA6"/>
    <w:rsid w:val="00421CD4"/>
    <w:rsid w:val="00422EAE"/>
    <w:rsid w:val="00423B52"/>
    <w:rsid w:val="00425137"/>
    <w:rsid w:val="00425DF9"/>
    <w:rsid w:val="004266D2"/>
    <w:rsid w:val="0043066F"/>
    <w:rsid w:val="00430816"/>
    <w:rsid w:val="00430B8F"/>
    <w:rsid w:val="004345D8"/>
    <w:rsid w:val="00437E25"/>
    <w:rsid w:val="00441AAE"/>
    <w:rsid w:val="00441BBA"/>
    <w:rsid w:val="004426C4"/>
    <w:rsid w:val="00442D57"/>
    <w:rsid w:val="00444BA1"/>
    <w:rsid w:val="00445ABF"/>
    <w:rsid w:val="00446F12"/>
    <w:rsid w:val="00450EFE"/>
    <w:rsid w:val="00452C06"/>
    <w:rsid w:val="004535C8"/>
    <w:rsid w:val="00454A34"/>
    <w:rsid w:val="00454AD5"/>
    <w:rsid w:val="004614AC"/>
    <w:rsid w:val="0046156D"/>
    <w:rsid w:val="004621C8"/>
    <w:rsid w:val="004622CF"/>
    <w:rsid w:val="00462FF8"/>
    <w:rsid w:val="00463815"/>
    <w:rsid w:val="00467CA8"/>
    <w:rsid w:val="00467DCA"/>
    <w:rsid w:val="0047016A"/>
    <w:rsid w:val="004708DF"/>
    <w:rsid w:val="00471868"/>
    <w:rsid w:val="00475B2A"/>
    <w:rsid w:val="00476164"/>
    <w:rsid w:val="00481AEE"/>
    <w:rsid w:val="00483506"/>
    <w:rsid w:val="00483A8C"/>
    <w:rsid w:val="00483FDB"/>
    <w:rsid w:val="00484620"/>
    <w:rsid w:val="00484C3C"/>
    <w:rsid w:val="00485760"/>
    <w:rsid w:val="00486853"/>
    <w:rsid w:val="00487A81"/>
    <w:rsid w:val="0049130F"/>
    <w:rsid w:val="00491669"/>
    <w:rsid w:val="00494D41"/>
    <w:rsid w:val="00496A99"/>
    <w:rsid w:val="00497C8C"/>
    <w:rsid w:val="004A059C"/>
    <w:rsid w:val="004A3903"/>
    <w:rsid w:val="004A5765"/>
    <w:rsid w:val="004A5C3E"/>
    <w:rsid w:val="004A5E0C"/>
    <w:rsid w:val="004B1FA8"/>
    <w:rsid w:val="004B34AF"/>
    <w:rsid w:val="004B5C6D"/>
    <w:rsid w:val="004B5E93"/>
    <w:rsid w:val="004B66E7"/>
    <w:rsid w:val="004B712E"/>
    <w:rsid w:val="004B733E"/>
    <w:rsid w:val="004C0536"/>
    <w:rsid w:val="004C0AC4"/>
    <w:rsid w:val="004C0DE9"/>
    <w:rsid w:val="004C0FAA"/>
    <w:rsid w:val="004C17B8"/>
    <w:rsid w:val="004C396E"/>
    <w:rsid w:val="004C39CF"/>
    <w:rsid w:val="004C671E"/>
    <w:rsid w:val="004C6BC4"/>
    <w:rsid w:val="004C6D5A"/>
    <w:rsid w:val="004D0FF2"/>
    <w:rsid w:val="004D1F9E"/>
    <w:rsid w:val="004D30AF"/>
    <w:rsid w:val="004D5D51"/>
    <w:rsid w:val="004D5FAD"/>
    <w:rsid w:val="004D640D"/>
    <w:rsid w:val="004E2D87"/>
    <w:rsid w:val="004E3D39"/>
    <w:rsid w:val="004E4F78"/>
    <w:rsid w:val="004E7C61"/>
    <w:rsid w:val="004F06C4"/>
    <w:rsid w:val="004F1F3C"/>
    <w:rsid w:val="004F202D"/>
    <w:rsid w:val="004F20D9"/>
    <w:rsid w:val="004F36F4"/>
    <w:rsid w:val="004F4D19"/>
    <w:rsid w:val="004F515A"/>
    <w:rsid w:val="004F5B77"/>
    <w:rsid w:val="004F6063"/>
    <w:rsid w:val="00500E16"/>
    <w:rsid w:val="00502121"/>
    <w:rsid w:val="00502E9A"/>
    <w:rsid w:val="005030E3"/>
    <w:rsid w:val="005031CC"/>
    <w:rsid w:val="005031F8"/>
    <w:rsid w:val="00503703"/>
    <w:rsid w:val="0050398B"/>
    <w:rsid w:val="0050560E"/>
    <w:rsid w:val="00505A82"/>
    <w:rsid w:val="00506316"/>
    <w:rsid w:val="00506530"/>
    <w:rsid w:val="00506E04"/>
    <w:rsid w:val="00507FDC"/>
    <w:rsid w:val="005130CD"/>
    <w:rsid w:val="00514AC7"/>
    <w:rsid w:val="00514FB3"/>
    <w:rsid w:val="00515D57"/>
    <w:rsid w:val="00516A98"/>
    <w:rsid w:val="0052033E"/>
    <w:rsid w:val="00523350"/>
    <w:rsid w:val="00523477"/>
    <w:rsid w:val="005239BA"/>
    <w:rsid w:val="00524A25"/>
    <w:rsid w:val="00526AEA"/>
    <w:rsid w:val="00526EF8"/>
    <w:rsid w:val="005303DA"/>
    <w:rsid w:val="00530EBB"/>
    <w:rsid w:val="00531352"/>
    <w:rsid w:val="005317AA"/>
    <w:rsid w:val="00532F6B"/>
    <w:rsid w:val="00540DF6"/>
    <w:rsid w:val="00541207"/>
    <w:rsid w:val="0054295A"/>
    <w:rsid w:val="00543158"/>
    <w:rsid w:val="0054456A"/>
    <w:rsid w:val="00544C9E"/>
    <w:rsid w:val="005466B9"/>
    <w:rsid w:val="00550F2E"/>
    <w:rsid w:val="0055651F"/>
    <w:rsid w:val="00560105"/>
    <w:rsid w:val="00561389"/>
    <w:rsid w:val="005622DA"/>
    <w:rsid w:val="00564B5C"/>
    <w:rsid w:val="005654E4"/>
    <w:rsid w:val="00565E39"/>
    <w:rsid w:val="0056647C"/>
    <w:rsid w:val="005727FF"/>
    <w:rsid w:val="00575292"/>
    <w:rsid w:val="00577108"/>
    <w:rsid w:val="00577A0D"/>
    <w:rsid w:val="00580046"/>
    <w:rsid w:val="005804F8"/>
    <w:rsid w:val="005806DA"/>
    <w:rsid w:val="005814A1"/>
    <w:rsid w:val="00581B3C"/>
    <w:rsid w:val="00581E7E"/>
    <w:rsid w:val="00582C23"/>
    <w:rsid w:val="00583BB7"/>
    <w:rsid w:val="005855DC"/>
    <w:rsid w:val="005857AD"/>
    <w:rsid w:val="00586283"/>
    <w:rsid w:val="00587779"/>
    <w:rsid w:val="00590EB6"/>
    <w:rsid w:val="0059187B"/>
    <w:rsid w:val="00593BF9"/>
    <w:rsid w:val="00594930"/>
    <w:rsid w:val="005A03DA"/>
    <w:rsid w:val="005A0819"/>
    <w:rsid w:val="005A1588"/>
    <w:rsid w:val="005A6CC5"/>
    <w:rsid w:val="005A751E"/>
    <w:rsid w:val="005B1FE7"/>
    <w:rsid w:val="005B2494"/>
    <w:rsid w:val="005B4457"/>
    <w:rsid w:val="005B4677"/>
    <w:rsid w:val="005B60EC"/>
    <w:rsid w:val="005B7113"/>
    <w:rsid w:val="005C0E6B"/>
    <w:rsid w:val="005C0F03"/>
    <w:rsid w:val="005C1B11"/>
    <w:rsid w:val="005C2852"/>
    <w:rsid w:val="005C2F24"/>
    <w:rsid w:val="005C480B"/>
    <w:rsid w:val="005C4AB3"/>
    <w:rsid w:val="005C5592"/>
    <w:rsid w:val="005C5AFC"/>
    <w:rsid w:val="005C6332"/>
    <w:rsid w:val="005C77A0"/>
    <w:rsid w:val="005C7833"/>
    <w:rsid w:val="005C79B3"/>
    <w:rsid w:val="005C7A06"/>
    <w:rsid w:val="005C7B51"/>
    <w:rsid w:val="005D1085"/>
    <w:rsid w:val="005D38F8"/>
    <w:rsid w:val="005D3F7F"/>
    <w:rsid w:val="005D5F42"/>
    <w:rsid w:val="005D6085"/>
    <w:rsid w:val="005D64C0"/>
    <w:rsid w:val="005D7BE3"/>
    <w:rsid w:val="005E04C3"/>
    <w:rsid w:val="005E284F"/>
    <w:rsid w:val="005E2C1E"/>
    <w:rsid w:val="005E3A80"/>
    <w:rsid w:val="005E442C"/>
    <w:rsid w:val="005E7315"/>
    <w:rsid w:val="005E747E"/>
    <w:rsid w:val="005F0347"/>
    <w:rsid w:val="005F03BA"/>
    <w:rsid w:val="005F25C5"/>
    <w:rsid w:val="005F2EF9"/>
    <w:rsid w:val="005F3FCA"/>
    <w:rsid w:val="005F4C44"/>
    <w:rsid w:val="005F51E1"/>
    <w:rsid w:val="00602017"/>
    <w:rsid w:val="00602830"/>
    <w:rsid w:val="00603F64"/>
    <w:rsid w:val="006056AA"/>
    <w:rsid w:val="00605CC9"/>
    <w:rsid w:val="00606C56"/>
    <w:rsid w:val="006071A5"/>
    <w:rsid w:val="00610348"/>
    <w:rsid w:val="006113F6"/>
    <w:rsid w:val="00611D69"/>
    <w:rsid w:val="00613CCA"/>
    <w:rsid w:val="006149A3"/>
    <w:rsid w:val="00615720"/>
    <w:rsid w:val="00615DED"/>
    <w:rsid w:val="00620229"/>
    <w:rsid w:val="00621829"/>
    <w:rsid w:val="0062209E"/>
    <w:rsid w:val="00622704"/>
    <w:rsid w:val="00623867"/>
    <w:rsid w:val="00623DDD"/>
    <w:rsid w:val="006251A0"/>
    <w:rsid w:val="006262B0"/>
    <w:rsid w:val="00626BAE"/>
    <w:rsid w:val="00626BB6"/>
    <w:rsid w:val="00627E82"/>
    <w:rsid w:val="00630E06"/>
    <w:rsid w:val="00635F68"/>
    <w:rsid w:val="006369E2"/>
    <w:rsid w:val="00636C94"/>
    <w:rsid w:val="0063702C"/>
    <w:rsid w:val="00640908"/>
    <w:rsid w:val="00641E92"/>
    <w:rsid w:val="006422AD"/>
    <w:rsid w:val="00644B60"/>
    <w:rsid w:val="00652C00"/>
    <w:rsid w:val="00653A77"/>
    <w:rsid w:val="00653BAC"/>
    <w:rsid w:val="00657E1A"/>
    <w:rsid w:val="00657EC8"/>
    <w:rsid w:val="00662DDA"/>
    <w:rsid w:val="00663234"/>
    <w:rsid w:val="0066335A"/>
    <w:rsid w:val="00666CD5"/>
    <w:rsid w:val="00667693"/>
    <w:rsid w:val="00672EFF"/>
    <w:rsid w:val="0067475C"/>
    <w:rsid w:val="00674BA0"/>
    <w:rsid w:val="00680B9D"/>
    <w:rsid w:val="00684689"/>
    <w:rsid w:val="00685162"/>
    <w:rsid w:val="00685754"/>
    <w:rsid w:val="00687680"/>
    <w:rsid w:val="00690883"/>
    <w:rsid w:val="00690958"/>
    <w:rsid w:val="00691757"/>
    <w:rsid w:val="00691C08"/>
    <w:rsid w:val="006931D5"/>
    <w:rsid w:val="006A3781"/>
    <w:rsid w:val="006A3A25"/>
    <w:rsid w:val="006A3C81"/>
    <w:rsid w:val="006A645F"/>
    <w:rsid w:val="006A6839"/>
    <w:rsid w:val="006A7BDE"/>
    <w:rsid w:val="006B2B2F"/>
    <w:rsid w:val="006B46DD"/>
    <w:rsid w:val="006B7560"/>
    <w:rsid w:val="006C07CD"/>
    <w:rsid w:val="006C2839"/>
    <w:rsid w:val="006C5011"/>
    <w:rsid w:val="006C5710"/>
    <w:rsid w:val="006C798B"/>
    <w:rsid w:val="006D1A94"/>
    <w:rsid w:val="006D2BF9"/>
    <w:rsid w:val="006D39A0"/>
    <w:rsid w:val="006D4D04"/>
    <w:rsid w:val="006D579F"/>
    <w:rsid w:val="006D582B"/>
    <w:rsid w:val="006D779C"/>
    <w:rsid w:val="006E0ABC"/>
    <w:rsid w:val="006E0C88"/>
    <w:rsid w:val="006E2B51"/>
    <w:rsid w:val="006E30B2"/>
    <w:rsid w:val="006E5980"/>
    <w:rsid w:val="006E60FE"/>
    <w:rsid w:val="006E72D6"/>
    <w:rsid w:val="006F045E"/>
    <w:rsid w:val="006F1413"/>
    <w:rsid w:val="006F3AA6"/>
    <w:rsid w:val="006F4D09"/>
    <w:rsid w:val="006F5599"/>
    <w:rsid w:val="006F6B79"/>
    <w:rsid w:val="007006BB"/>
    <w:rsid w:val="00701F0E"/>
    <w:rsid w:val="00701FB9"/>
    <w:rsid w:val="007023F9"/>
    <w:rsid w:val="00702425"/>
    <w:rsid w:val="00703310"/>
    <w:rsid w:val="007047FE"/>
    <w:rsid w:val="00705EF2"/>
    <w:rsid w:val="00706BC1"/>
    <w:rsid w:val="007109FA"/>
    <w:rsid w:val="007116DB"/>
    <w:rsid w:val="00712B47"/>
    <w:rsid w:val="00712E17"/>
    <w:rsid w:val="00716267"/>
    <w:rsid w:val="00717804"/>
    <w:rsid w:val="007179E1"/>
    <w:rsid w:val="00720945"/>
    <w:rsid w:val="00722373"/>
    <w:rsid w:val="00722C07"/>
    <w:rsid w:val="0072317B"/>
    <w:rsid w:val="007232F4"/>
    <w:rsid w:val="00725E74"/>
    <w:rsid w:val="007335A1"/>
    <w:rsid w:val="007343F4"/>
    <w:rsid w:val="00736A20"/>
    <w:rsid w:val="007378B3"/>
    <w:rsid w:val="00737B39"/>
    <w:rsid w:val="00737D5C"/>
    <w:rsid w:val="007427EB"/>
    <w:rsid w:val="00742D44"/>
    <w:rsid w:val="0074333A"/>
    <w:rsid w:val="00743A04"/>
    <w:rsid w:val="00744907"/>
    <w:rsid w:val="00745C42"/>
    <w:rsid w:val="007478A2"/>
    <w:rsid w:val="00750018"/>
    <w:rsid w:val="00751480"/>
    <w:rsid w:val="00752155"/>
    <w:rsid w:val="00752332"/>
    <w:rsid w:val="00752BC9"/>
    <w:rsid w:val="00753301"/>
    <w:rsid w:val="0075613B"/>
    <w:rsid w:val="00756C2B"/>
    <w:rsid w:val="00757B02"/>
    <w:rsid w:val="00760829"/>
    <w:rsid w:val="0076155B"/>
    <w:rsid w:val="00762410"/>
    <w:rsid w:val="00762A07"/>
    <w:rsid w:val="0076301C"/>
    <w:rsid w:val="00764948"/>
    <w:rsid w:val="00764DC3"/>
    <w:rsid w:val="0076654D"/>
    <w:rsid w:val="007669A6"/>
    <w:rsid w:val="00771DE3"/>
    <w:rsid w:val="00771FAE"/>
    <w:rsid w:val="00773111"/>
    <w:rsid w:val="00774092"/>
    <w:rsid w:val="0078023D"/>
    <w:rsid w:val="00780D0C"/>
    <w:rsid w:val="0078142C"/>
    <w:rsid w:val="00783A97"/>
    <w:rsid w:val="0078465E"/>
    <w:rsid w:val="00784737"/>
    <w:rsid w:val="0079134E"/>
    <w:rsid w:val="007926A2"/>
    <w:rsid w:val="00793994"/>
    <w:rsid w:val="00795CE0"/>
    <w:rsid w:val="007A0EDE"/>
    <w:rsid w:val="007A1CAF"/>
    <w:rsid w:val="007A2804"/>
    <w:rsid w:val="007A2E50"/>
    <w:rsid w:val="007A30E4"/>
    <w:rsid w:val="007A64EF"/>
    <w:rsid w:val="007B0C49"/>
    <w:rsid w:val="007B1098"/>
    <w:rsid w:val="007B2DCD"/>
    <w:rsid w:val="007B3C7A"/>
    <w:rsid w:val="007B43EB"/>
    <w:rsid w:val="007B4B5D"/>
    <w:rsid w:val="007B4ED3"/>
    <w:rsid w:val="007B6C02"/>
    <w:rsid w:val="007B79B3"/>
    <w:rsid w:val="007B7E40"/>
    <w:rsid w:val="007C019C"/>
    <w:rsid w:val="007C0574"/>
    <w:rsid w:val="007C06E7"/>
    <w:rsid w:val="007C1A0D"/>
    <w:rsid w:val="007C1F67"/>
    <w:rsid w:val="007C26A3"/>
    <w:rsid w:val="007C299D"/>
    <w:rsid w:val="007C4F3E"/>
    <w:rsid w:val="007C5265"/>
    <w:rsid w:val="007C6F19"/>
    <w:rsid w:val="007D01CC"/>
    <w:rsid w:val="007D186E"/>
    <w:rsid w:val="007D1B77"/>
    <w:rsid w:val="007D1C65"/>
    <w:rsid w:val="007D2537"/>
    <w:rsid w:val="007D41EC"/>
    <w:rsid w:val="007D555F"/>
    <w:rsid w:val="007D60F8"/>
    <w:rsid w:val="007E0F6A"/>
    <w:rsid w:val="007E1391"/>
    <w:rsid w:val="007E1F68"/>
    <w:rsid w:val="007E4E95"/>
    <w:rsid w:val="007E52A4"/>
    <w:rsid w:val="007E5919"/>
    <w:rsid w:val="007F188F"/>
    <w:rsid w:val="007F1B04"/>
    <w:rsid w:val="007F2900"/>
    <w:rsid w:val="007F2CE6"/>
    <w:rsid w:val="007F3259"/>
    <w:rsid w:val="007F4A6C"/>
    <w:rsid w:val="007F4D62"/>
    <w:rsid w:val="007F4F50"/>
    <w:rsid w:val="007F733D"/>
    <w:rsid w:val="008003F6"/>
    <w:rsid w:val="00800699"/>
    <w:rsid w:val="008006DF"/>
    <w:rsid w:val="00800AC0"/>
    <w:rsid w:val="0080106E"/>
    <w:rsid w:val="008010DD"/>
    <w:rsid w:val="00801CB6"/>
    <w:rsid w:val="0080200E"/>
    <w:rsid w:val="00802C00"/>
    <w:rsid w:val="00803EC3"/>
    <w:rsid w:val="00806410"/>
    <w:rsid w:val="00806EE7"/>
    <w:rsid w:val="00811BF1"/>
    <w:rsid w:val="00812357"/>
    <w:rsid w:val="00812D2E"/>
    <w:rsid w:val="008139F9"/>
    <w:rsid w:val="0081421B"/>
    <w:rsid w:val="00814856"/>
    <w:rsid w:val="00816F56"/>
    <w:rsid w:val="00821189"/>
    <w:rsid w:val="008219E8"/>
    <w:rsid w:val="0082328C"/>
    <w:rsid w:val="008249B7"/>
    <w:rsid w:val="008263E6"/>
    <w:rsid w:val="008303DC"/>
    <w:rsid w:val="0083178C"/>
    <w:rsid w:val="008327F5"/>
    <w:rsid w:val="00834F92"/>
    <w:rsid w:val="008356F2"/>
    <w:rsid w:val="00835A62"/>
    <w:rsid w:val="0083644F"/>
    <w:rsid w:val="00837362"/>
    <w:rsid w:val="0084156F"/>
    <w:rsid w:val="0084215B"/>
    <w:rsid w:val="00842EFF"/>
    <w:rsid w:val="0084504E"/>
    <w:rsid w:val="008457AD"/>
    <w:rsid w:val="00846EC5"/>
    <w:rsid w:val="00847FA2"/>
    <w:rsid w:val="0085154D"/>
    <w:rsid w:val="0085356F"/>
    <w:rsid w:val="008566F9"/>
    <w:rsid w:val="008606AD"/>
    <w:rsid w:val="00861118"/>
    <w:rsid w:val="008638A0"/>
    <w:rsid w:val="008652D0"/>
    <w:rsid w:val="00866ECD"/>
    <w:rsid w:val="00872216"/>
    <w:rsid w:val="008740F6"/>
    <w:rsid w:val="00874559"/>
    <w:rsid w:val="00875B8A"/>
    <w:rsid w:val="008776AF"/>
    <w:rsid w:val="0088186E"/>
    <w:rsid w:val="00882ECD"/>
    <w:rsid w:val="00885BEA"/>
    <w:rsid w:val="0088718D"/>
    <w:rsid w:val="008879A6"/>
    <w:rsid w:val="0089053B"/>
    <w:rsid w:val="00890D7B"/>
    <w:rsid w:val="00892987"/>
    <w:rsid w:val="00892EA4"/>
    <w:rsid w:val="00893CA9"/>
    <w:rsid w:val="00896324"/>
    <w:rsid w:val="008967B5"/>
    <w:rsid w:val="00897302"/>
    <w:rsid w:val="0089772D"/>
    <w:rsid w:val="008979B5"/>
    <w:rsid w:val="00897B02"/>
    <w:rsid w:val="008A2F9C"/>
    <w:rsid w:val="008A4F1F"/>
    <w:rsid w:val="008A635C"/>
    <w:rsid w:val="008A7A45"/>
    <w:rsid w:val="008B1A06"/>
    <w:rsid w:val="008B4635"/>
    <w:rsid w:val="008B5488"/>
    <w:rsid w:val="008B5687"/>
    <w:rsid w:val="008B6238"/>
    <w:rsid w:val="008B6258"/>
    <w:rsid w:val="008B6619"/>
    <w:rsid w:val="008B68F7"/>
    <w:rsid w:val="008C0E66"/>
    <w:rsid w:val="008C1F4D"/>
    <w:rsid w:val="008C3BF7"/>
    <w:rsid w:val="008C5518"/>
    <w:rsid w:val="008C664C"/>
    <w:rsid w:val="008C73BF"/>
    <w:rsid w:val="008D033A"/>
    <w:rsid w:val="008D1224"/>
    <w:rsid w:val="008D1414"/>
    <w:rsid w:val="008D45EB"/>
    <w:rsid w:val="008D4B60"/>
    <w:rsid w:val="008D5EE6"/>
    <w:rsid w:val="008D618A"/>
    <w:rsid w:val="008D6A30"/>
    <w:rsid w:val="008D6ED3"/>
    <w:rsid w:val="008D732C"/>
    <w:rsid w:val="008E12B5"/>
    <w:rsid w:val="008E24D8"/>
    <w:rsid w:val="008E288F"/>
    <w:rsid w:val="008E2E96"/>
    <w:rsid w:val="008E3AD9"/>
    <w:rsid w:val="008E40D5"/>
    <w:rsid w:val="008E6D1D"/>
    <w:rsid w:val="008F19C7"/>
    <w:rsid w:val="008F42BC"/>
    <w:rsid w:val="008F4808"/>
    <w:rsid w:val="008F49ED"/>
    <w:rsid w:val="008F5E46"/>
    <w:rsid w:val="008F7A1E"/>
    <w:rsid w:val="008F7C1E"/>
    <w:rsid w:val="009026D4"/>
    <w:rsid w:val="00902E92"/>
    <w:rsid w:val="00904DB0"/>
    <w:rsid w:val="009059A7"/>
    <w:rsid w:val="0090726C"/>
    <w:rsid w:val="009072F4"/>
    <w:rsid w:val="0090737B"/>
    <w:rsid w:val="00914F92"/>
    <w:rsid w:val="009173A4"/>
    <w:rsid w:val="009178EE"/>
    <w:rsid w:val="00921EFF"/>
    <w:rsid w:val="009224EF"/>
    <w:rsid w:val="00922857"/>
    <w:rsid w:val="00922FAD"/>
    <w:rsid w:val="00923E22"/>
    <w:rsid w:val="00924867"/>
    <w:rsid w:val="009248B3"/>
    <w:rsid w:val="00925497"/>
    <w:rsid w:val="009267C4"/>
    <w:rsid w:val="00931E2D"/>
    <w:rsid w:val="009324AA"/>
    <w:rsid w:val="009337BB"/>
    <w:rsid w:val="009340F1"/>
    <w:rsid w:val="00935743"/>
    <w:rsid w:val="00935A96"/>
    <w:rsid w:val="0093641E"/>
    <w:rsid w:val="00936DAE"/>
    <w:rsid w:val="00937006"/>
    <w:rsid w:val="00937B4B"/>
    <w:rsid w:val="00937D7D"/>
    <w:rsid w:val="009407C3"/>
    <w:rsid w:val="00943FA7"/>
    <w:rsid w:val="009461B6"/>
    <w:rsid w:val="009478CF"/>
    <w:rsid w:val="009509F2"/>
    <w:rsid w:val="0095174D"/>
    <w:rsid w:val="00952809"/>
    <w:rsid w:val="00953864"/>
    <w:rsid w:val="00954865"/>
    <w:rsid w:val="00954B9B"/>
    <w:rsid w:val="0095503D"/>
    <w:rsid w:val="009556A1"/>
    <w:rsid w:val="009570FB"/>
    <w:rsid w:val="00957973"/>
    <w:rsid w:val="00962018"/>
    <w:rsid w:val="00964E12"/>
    <w:rsid w:val="00965BD0"/>
    <w:rsid w:val="009660F4"/>
    <w:rsid w:val="00966237"/>
    <w:rsid w:val="00966E0C"/>
    <w:rsid w:val="0096754E"/>
    <w:rsid w:val="00971343"/>
    <w:rsid w:val="009713F0"/>
    <w:rsid w:val="00972B98"/>
    <w:rsid w:val="0097477B"/>
    <w:rsid w:val="009752CF"/>
    <w:rsid w:val="00976559"/>
    <w:rsid w:val="00981C1D"/>
    <w:rsid w:val="00982853"/>
    <w:rsid w:val="00984B9B"/>
    <w:rsid w:val="00985677"/>
    <w:rsid w:val="00986422"/>
    <w:rsid w:val="00991303"/>
    <w:rsid w:val="009920A5"/>
    <w:rsid w:val="00993400"/>
    <w:rsid w:val="0099592B"/>
    <w:rsid w:val="00995962"/>
    <w:rsid w:val="009959E8"/>
    <w:rsid w:val="00995CFB"/>
    <w:rsid w:val="00997EF3"/>
    <w:rsid w:val="009A155C"/>
    <w:rsid w:val="009A21A4"/>
    <w:rsid w:val="009A2AE8"/>
    <w:rsid w:val="009A4404"/>
    <w:rsid w:val="009B0C75"/>
    <w:rsid w:val="009B0F8C"/>
    <w:rsid w:val="009B336B"/>
    <w:rsid w:val="009B3A3B"/>
    <w:rsid w:val="009C15C8"/>
    <w:rsid w:val="009C324D"/>
    <w:rsid w:val="009C56C9"/>
    <w:rsid w:val="009C6FF3"/>
    <w:rsid w:val="009C737E"/>
    <w:rsid w:val="009D0033"/>
    <w:rsid w:val="009D0228"/>
    <w:rsid w:val="009D3A1A"/>
    <w:rsid w:val="009D492E"/>
    <w:rsid w:val="009D5E04"/>
    <w:rsid w:val="009D6297"/>
    <w:rsid w:val="009D74B0"/>
    <w:rsid w:val="009E240A"/>
    <w:rsid w:val="009E345F"/>
    <w:rsid w:val="009E3D20"/>
    <w:rsid w:val="009E4D7F"/>
    <w:rsid w:val="009E6590"/>
    <w:rsid w:val="009E66E7"/>
    <w:rsid w:val="009E66FE"/>
    <w:rsid w:val="009F0C3F"/>
    <w:rsid w:val="009F3B5F"/>
    <w:rsid w:val="009F4B75"/>
    <w:rsid w:val="009F5908"/>
    <w:rsid w:val="009F7B68"/>
    <w:rsid w:val="009F7CBA"/>
    <w:rsid w:val="00A006F2"/>
    <w:rsid w:val="00A0087A"/>
    <w:rsid w:val="00A0152D"/>
    <w:rsid w:val="00A01C11"/>
    <w:rsid w:val="00A01EB9"/>
    <w:rsid w:val="00A02F5C"/>
    <w:rsid w:val="00A0549C"/>
    <w:rsid w:val="00A111B1"/>
    <w:rsid w:val="00A11808"/>
    <w:rsid w:val="00A11A13"/>
    <w:rsid w:val="00A13833"/>
    <w:rsid w:val="00A1615B"/>
    <w:rsid w:val="00A213AD"/>
    <w:rsid w:val="00A22052"/>
    <w:rsid w:val="00A22200"/>
    <w:rsid w:val="00A23F94"/>
    <w:rsid w:val="00A25575"/>
    <w:rsid w:val="00A25929"/>
    <w:rsid w:val="00A259BC"/>
    <w:rsid w:val="00A272AA"/>
    <w:rsid w:val="00A31474"/>
    <w:rsid w:val="00A3176E"/>
    <w:rsid w:val="00A320C4"/>
    <w:rsid w:val="00A3230E"/>
    <w:rsid w:val="00A34931"/>
    <w:rsid w:val="00A35A9B"/>
    <w:rsid w:val="00A35ED1"/>
    <w:rsid w:val="00A365B4"/>
    <w:rsid w:val="00A3694A"/>
    <w:rsid w:val="00A405B1"/>
    <w:rsid w:val="00A415E4"/>
    <w:rsid w:val="00A4252A"/>
    <w:rsid w:val="00A43BF5"/>
    <w:rsid w:val="00A4414F"/>
    <w:rsid w:val="00A45195"/>
    <w:rsid w:val="00A4613F"/>
    <w:rsid w:val="00A46628"/>
    <w:rsid w:val="00A471A6"/>
    <w:rsid w:val="00A47498"/>
    <w:rsid w:val="00A4790B"/>
    <w:rsid w:val="00A53003"/>
    <w:rsid w:val="00A539A1"/>
    <w:rsid w:val="00A571AF"/>
    <w:rsid w:val="00A573DE"/>
    <w:rsid w:val="00A57B88"/>
    <w:rsid w:val="00A57F09"/>
    <w:rsid w:val="00A60F66"/>
    <w:rsid w:val="00A616E9"/>
    <w:rsid w:val="00A62729"/>
    <w:rsid w:val="00A62B46"/>
    <w:rsid w:val="00A62D70"/>
    <w:rsid w:val="00A63214"/>
    <w:rsid w:val="00A6492C"/>
    <w:rsid w:val="00A679EC"/>
    <w:rsid w:val="00A67AAD"/>
    <w:rsid w:val="00A70C81"/>
    <w:rsid w:val="00A729D4"/>
    <w:rsid w:val="00A74F43"/>
    <w:rsid w:val="00A76D22"/>
    <w:rsid w:val="00A80F98"/>
    <w:rsid w:val="00A82F2E"/>
    <w:rsid w:val="00A84E86"/>
    <w:rsid w:val="00A8576B"/>
    <w:rsid w:val="00A866D3"/>
    <w:rsid w:val="00A86B13"/>
    <w:rsid w:val="00A873DB"/>
    <w:rsid w:val="00A874DD"/>
    <w:rsid w:val="00A907C0"/>
    <w:rsid w:val="00A909A5"/>
    <w:rsid w:val="00A9269F"/>
    <w:rsid w:val="00A945D6"/>
    <w:rsid w:val="00A951C7"/>
    <w:rsid w:val="00A953D5"/>
    <w:rsid w:val="00A95725"/>
    <w:rsid w:val="00A95D4E"/>
    <w:rsid w:val="00A96E1C"/>
    <w:rsid w:val="00A979E0"/>
    <w:rsid w:val="00A97CC9"/>
    <w:rsid w:val="00AA015A"/>
    <w:rsid w:val="00AA3322"/>
    <w:rsid w:val="00AA3B90"/>
    <w:rsid w:val="00AA5741"/>
    <w:rsid w:val="00AA68CC"/>
    <w:rsid w:val="00AA7806"/>
    <w:rsid w:val="00AA7CA9"/>
    <w:rsid w:val="00AB236F"/>
    <w:rsid w:val="00AB4411"/>
    <w:rsid w:val="00AB6F72"/>
    <w:rsid w:val="00AC107B"/>
    <w:rsid w:val="00AC4764"/>
    <w:rsid w:val="00AC59AC"/>
    <w:rsid w:val="00AC5BAB"/>
    <w:rsid w:val="00AD1119"/>
    <w:rsid w:val="00AD1F58"/>
    <w:rsid w:val="00AD20CF"/>
    <w:rsid w:val="00AD2F18"/>
    <w:rsid w:val="00AD4848"/>
    <w:rsid w:val="00AD520A"/>
    <w:rsid w:val="00AD645C"/>
    <w:rsid w:val="00AD7329"/>
    <w:rsid w:val="00AD792D"/>
    <w:rsid w:val="00AD7FB1"/>
    <w:rsid w:val="00AE0770"/>
    <w:rsid w:val="00AE0FB8"/>
    <w:rsid w:val="00AE183C"/>
    <w:rsid w:val="00AE330E"/>
    <w:rsid w:val="00AE642F"/>
    <w:rsid w:val="00AE64EE"/>
    <w:rsid w:val="00AE6988"/>
    <w:rsid w:val="00AE6E9F"/>
    <w:rsid w:val="00AF123D"/>
    <w:rsid w:val="00AF29C6"/>
    <w:rsid w:val="00AF6FF0"/>
    <w:rsid w:val="00B0198D"/>
    <w:rsid w:val="00B059A5"/>
    <w:rsid w:val="00B06154"/>
    <w:rsid w:val="00B07C6F"/>
    <w:rsid w:val="00B104F3"/>
    <w:rsid w:val="00B10CD9"/>
    <w:rsid w:val="00B132BB"/>
    <w:rsid w:val="00B1387D"/>
    <w:rsid w:val="00B215BE"/>
    <w:rsid w:val="00B22CB1"/>
    <w:rsid w:val="00B23C8F"/>
    <w:rsid w:val="00B25531"/>
    <w:rsid w:val="00B25554"/>
    <w:rsid w:val="00B35088"/>
    <w:rsid w:val="00B40D3E"/>
    <w:rsid w:val="00B40DBD"/>
    <w:rsid w:val="00B4138D"/>
    <w:rsid w:val="00B4330E"/>
    <w:rsid w:val="00B43321"/>
    <w:rsid w:val="00B43FD2"/>
    <w:rsid w:val="00B44A7F"/>
    <w:rsid w:val="00B460E7"/>
    <w:rsid w:val="00B46192"/>
    <w:rsid w:val="00B467E7"/>
    <w:rsid w:val="00B468C5"/>
    <w:rsid w:val="00B46A16"/>
    <w:rsid w:val="00B47E2D"/>
    <w:rsid w:val="00B504B8"/>
    <w:rsid w:val="00B533A6"/>
    <w:rsid w:val="00B54AC7"/>
    <w:rsid w:val="00B5621F"/>
    <w:rsid w:val="00B56745"/>
    <w:rsid w:val="00B56D50"/>
    <w:rsid w:val="00B610BE"/>
    <w:rsid w:val="00B613C8"/>
    <w:rsid w:val="00B61ECB"/>
    <w:rsid w:val="00B63A5A"/>
    <w:rsid w:val="00B65162"/>
    <w:rsid w:val="00B70772"/>
    <w:rsid w:val="00B7095A"/>
    <w:rsid w:val="00B75D50"/>
    <w:rsid w:val="00B771F9"/>
    <w:rsid w:val="00B80987"/>
    <w:rsid w:val="00B81DFC"/>
    <w:rsid w:val="00B82557"/>
    <w:rsid w:val="00B836E1"/>
    <w:rsid w:val="00B844BB"/>
    <w:rsid w:val="00B8467B"/>
    <w:rsid w:val="00B858A6"/>
    <w:rsid w:val="00B86CF3"/>
    <w:rsid w:val="00B902EB"/>
    <w:rsid w:val="00B93095"/>
    <w:rsid w:val="00B93688"/>
    <w:rsid w:val="00B95B4D"/>
    <w:rsid w:val="00BA099E"/>
    <w:rsid w:val="00BA1965"/>
    <w:rsid w:val="00BA1E89"/>
    <w:rsid w:val="00BA2F89"/>
    <w:rsid w:val="00BA44FA"/>
    <w:rsid w:val="00BA5C94"/>
    <w:rsid w:val="00BA74C9"/>
    <w:rsid w:val="00BB1E81"/>
    <w:rsid w:val="00BB62EF"/>
    <w:rsid w:val="00BC00A3"/>
    <w:rsid w:val="00BC17B0"/>
    <w:rsid w:val="00BC241D"/>
    <w:rsid w:val="00BC2FF1"/>
    <w:rsid w:val="00BC3D82"/>
    <w:rsid w:val="00BC4AF4"/>
    <w:rsid w:val="00BC7C65"/>
    <w:rsid w:val="00BD221F"/>
    <w:rsid w:val="00BD52F6"/>
    <w:rsid w:val="00BD6E10"/>
    <w:rsid w:val="00BD6ECE"/>
    <w:rsid w:val="00BD7055"/>
    <w:rsid w:val="00BE0635"/>
    <w:rsid w:val="00BE07F5"/>
    <w:rsid w:val="00BE1181"/>
    <w:rsid w:val="00BE3166"/>
    <w:rsid w:val="00BE3252"/>
    <w:rsid w:val="00BF098E"/>
    <w:rsid w:val="00BF25C5"/>
    <w:rsid w:val="00BF4133"/>
    <w:rsid w:val="00BF65CD"/>
    <w:rsid w:val="00BF6B97"/>
    <w:rsid w:val="00BF70D8"/>
    <w:rsid w:val="00C00E63"/>
    <w:rsid w:val="00C032E6"/>
    <w:rsid w:val="00C0345A"/>
    <w:rsid w:val="00C03FF6"/>
    <w:rsid w:val="00C04196"/>
    <w:rsid w:val="00C04951"/>
    <w:rsid w:val="00C07C52"/>
    <w:rsid w:val="00C11B58"/>
    <w:rsid w:val="00C11C27"/>
    <w:rsid w:val="00C12235"/>
    <w:rsid w:val="00C1284F"/>
    <w:rsid w:val="00C14539"/>
    <w:rsid w:val="00C14EF1"/>
    <w:rsid w:val="00C15632"/>
    <w:rsid w:val="00C17807"/>
    <w:rsid w:val="00C17C88"/>
    <w:rsid w:val="00C27AEF"/>
    <w:rsid w:val="00C31215"/>
    <w:rsid w:val="00C3476D"/>
    <w:rsid w:val="00C361A7"/>
    <w:rsid w:val="00C376BF"/>
    <w:rsid w:val="00C4280A"/>
    <w:rsid w:val="00C4284C"/>
    <w:rsid w:val="00C4296C"/>
    <w:rsid w:val="00C42A68"/>
    <w:rsid w:val="00C436B2"/>
    <w:rsid w:val="00C46146"/>
    <w:rsid w:val="00C47437"/>
    <w:rsid w:val="00C47C17"/>
    <w:rsid w:val="00C509C3"/>
    <w:rsid w:val="00C51A9C"/>
    <w:rsid w:val="00C51BCE"/>
    <w:rsid w:val="00C52236"/>
    <w:rsid w:val="00C52AA2"/>
    <w:rsid w:val="00C57B02"/>
    <w:rsid w:val="00C61DEA"/>
    <w:rsid w:val="00C63402"/>
    <w:rsid w:val="00C63F96"/>
    <w:rsid w:val="00C66711"/>
    <w:rsid w:val="00C66FCD"/>
    <w:rsid w:val="00C67E4E"/>
    <w:rsid w:val="00C70877"/>
    <w:rsid w:val="00C71F36"/>
    <w:rsid w:val="00C7264E"/>
    <w:rsid w:val="00C73A17"/>
    <w:rsid w:val="00C743FA"/>
    <w:rsid w:val="00C7491A"/>
    <w:rsid w:val="00C74975"/>
    <w:rsid w:val="00C7497E"/>
    <w:rsid w:val="00C757FC"/>
    <w:rsid w:val="00C75BB7"/>
    <w:rsid w:val="00C80E7A"/>
    <w:rsid w:val="00C81D5E"/>
    <w:rsid w:val="00C82FCA"/>
    <w:rsid w:val="00C847F8"/>
    <w:rsid w:val="00C84E6F"/>
    <w:rsid w:val="00C857AA"/>
    <w:rsid w:val="00C866B2"/>
    <w:rsid w:val="00C90725"/>
    <w:rsid w:val="00C90BEF"/>
    <w:rsid w:val="00C90EA5"/>
    <w:rsid w:val="00C912CB"/>
    <w:rsid w:val="00C92232"/>
    <w:rsid w:val="00C93731"/>
    <w:rsid w:val="00C94104"/>
    <w:rsid w:val="00C95384"/>
    <w:rsid w:val="00CA0693"/>
    <w:rsid w:val="00CA2168"/>
    <w:rsid w:val="00CA2C4D"/>
    <w:rsid w:val="00CA377C"/>
    <w:rsid w:val="00CA588F"/>
    <w:rsid w:val="00CA597B"/>
    <w:rsid w:val="00CA68D6"/>
    <w:rsid w:val="00CA7AD9"/>
    <w:rsid w:val="00CB0FDD"/>
    <w:rsid w:val="00CB133C"/>
    <w:rsid w:val="00CB246F"/>
    <w:rsid w:val="00CB2DDB"/>
    <w:rsid w:val="00CB3596"/>
    <w:rsid w:val="00CC022C"/>
    <w:rsid w:val="00CC2A66"/>
    <w:rsid w:val="00CC2E5E"/>
    <w:rsid w:val="00CC3D38"/>
    <w:rsid w:val="00CC51D0"/>
    <w:rsid w:val="00CC5DE0"/>
    <w:rsid w:val="00CC606D"/>
    <w:rsid w:val="00CC6CEC"/>
    <w:rsid w:val="00CC72B8"/>
    <w:rsid w:val="00CD2CB8"/>
    <w:rsid w:val="00CD487E"/>
    <w:rsid w:val="00CD59BF"/>
    <w:rsid w:val="00CD622E"/>
    <w:rsid w:val="00CD7D2D"/>
    <w:rsid w:val="00CE0816"/>
    <w:rsid w:val="00CE25A6"/>
    <w:rsid w:val="00CE3CC4"/>
    <w:rsid w:val="00CE7DB8"/>
    <w:rsid w:val="00CF0914"/>
    <w:rsid w:val="00CF0E3E"/>
    <w:rsid w:val="00CF2C19"/>
    <w:rsid w:val="00CF31C7"/>
    <w:rsid w:val="00CF35A3"/>
    <w:rsid w:val="00CF37BD"/>
    <w:rsid w:val="00CF3AD7"/>
    <w:rsid w:val="00CF40D7"/>
    <w:rsid w:val="00CF415D"/>
    <w:rsid w:val="00CF7D88"/>
    <w:rsid w:val="00D00F99"/>
    <w:rsid w:val="00D019B2"/>
    <w:rsid w:val="00D0361C"/>
    <w:rsid w:val="00D03693"/>
    <w:rsid w:val="00D06834"/>
    <w:rsid w:val="00D13532"/>
    <w:rsid w:val="00D14B0F"/>
    <w:rsid w:val="00D1532D"/>
    <w:rsid w:val="00D16755"/>
    <w:rsid w:val="00D16B91"/>
    <w:rsid w:val="00D17535"/>
    <w:rsid w:val="00D22C0C"/>
    <w:rsid w:val="00D3049F"/>
    <w:rsid w:val="00D3082C"/>
    <w:rsid w:val="00D31653"/>
    <w:rsid w:val="00D31DB8"/>
    <w:rsid w:val="00D3233A"/>
    <w:rsid w:val="00D3491D"/>
    <w:rsid w:val="00D35ABA"/>
    <w:rsid w:val="00D3663A"/>
    <w:rsid w:val="00D4057E"/>
    <w:rsid w:val="00D41A08"/>
    <w:rsid w:val="00D4401B"/>
    <w:rsid w:val="00D45247"/>
    <w:rsid w:val="00D52436"/>
    <w:rsid w:val="00D52656"/>
    <w:rsid w:val="00D52A58"/>
    <w:rsid w:val="00D53664"/>
    <w:rsid w:val="00D53E0B"/>
    <w:rsid w:val="00D546D2"/>
    <w:rsid w:val="00D54EEA"/>
    <w:rsid w:val="00D55C7D"/>
    <w:rsid w:val="00D565C9"/>
    <w:rsid w:val="00D57359"/>
    <w:rsid w:val="00D60961"/>
    <w:rsid w:val="00D61D6C"/>
    <w:rsid w:val="00D65015"/>
    <w:rsid w:val="00D653E3"/>
    <w:rsid w:val="00D657A5"/>
    <w:rsid w:val="00D6658C"/>
    <w:rsid w:val="00D71666"/>
    <w:rsid w:val="00D71BAC"/>
    <w:rsid w:val="00D72091"/>
    <w:rsid w:val="00D72776"/>
    <w:rsid w:val="00D75C0A"/>
    <w:rsid w:val="00D77675"/>
    <w:rsid w:val="00D77F03"/>
    <w:rsid w:val="00D812F1"/>
    <w:rsid w:val="00D81B67"/>
    <w:rsid w:val="00D824CC"/>
    <w:rsid w:val="00D83495"/>
    <w:rsid w:val="00D83592"/>
    <w:rsid w:val="00D84014"/>
    <w:rsid w:val="00D905EA"/>
    <w:rsid w:val="00D914F0"/>
    <w:rsid w:val="00D91B58"/>
    <w:rsid w:val="00D967F1"/>
    <w:rsid w:val="00D97085"/>
    <w:rsid w:val="00DA0287"/>
    <w:rsid w:val="00DA05CE"/>
    <w:rsid w:val="00DA318C"/>
    <w:rsid w:val="00DA4B07"/>
    <w:rsid w:val="00DA6D3E"/>
    <w:rsid w:val="00DA79DF"/>
    <w:rsid w:val="00DA7C86"/>
    <w:rsid w:val="00DB2F22"/>
    <w:rsid w:val="00DB3459"/>
    <w:rsid w:val="00DB50D8"/>
    <w:rsid w:val="00DB5959"/>
    <w:rsid w:val="00DB7486"/>
    <w:rsid w:val="00DC31D4"/>
    <w:rsid w:val="00DC3E68"/>
    <w:rsid w:val="00DC63E5"/>
    <w:rsid w:val="00DD3795"/>
    <w:rsid w:val="00DD49D4"/>
    <w:rsid w:val="00DE0707"/>
    <w:rsid w:val="00DE16C5"/>
    <w:rsid w:val="00DE1749"/>
    <w:rsid w:val="00DE2EE5"/>
    <w:rsid w:val="00DE30C1"/>
    <w:rsid w:val="00DE61B5"/>
    <w:rsid w:val="00DE6447"/>
    <w:rsid w:val="00DE77EB"/>
    <w:rsid w:val="00DF096B"/>
    <w:rsid w:val="00DF4AF9"/>
    <w:rsid w:val="00DF4F47"/>
    <w:rsid w:val="00DF5EA8"/>
    <w:rsid w:val="00DF5F89"/>
    <w:rsid w:val="00DF7571"/>
    <w:rsid w:val="00DF7666"/>
    <w:rsid w:val="00DF7ABA"/>
    <w:rsid w:val="00E00B4E"/>
    <w:rsid w:val="00E00C70"/>
    <w:rsid w:val="00E02D78"/>
    <w:rsid w:val="00E03A1F"/>
    <w:rsid w:val="00E03F3D"/>
    <w:rsid w:val="00E0426B"/>
    <w:rsid w:val="00E0489A"/>
    <w:rsid w:val="00E06CAA"/>
    <w:rsid w:val="00E07E74"/>
    <w:rsid w:val="00E10464"/>
    <w:rsid w:val="00E12932"/>
    <w:rsid w:val="00E15251"/>
    <w:rsid w:val="00E15832"/>
    <w:rsid w:val="00E16AAA"/>
    <w:rsid w:val="00E177B8"/>
    <w:rsid w:val="00E17835"/>
    <w:rsid w:val="00E205BA"/>
    <w:rsid w:val="00E210F3"/>
    <w:rsid w:val="00E21EE7"/>
    <w:rsid w:val="00E22D24"/>
    <w:rsid w:val="00E23C0B"/>
    <w:rsid w:val="00E23D78"/>
    <w:rsid w:val="00E244FF"/>
    <w:rsid w:val="00E2552E"/>
    <w:rsid w:val="00E270AD"/>
    <w:rsid w:val="00E276BD"/>
    <w:rsid w:val="00E30B3D"/>
    <w:rsid w:val="00E314DA"/>
    <w:rsid w:val="00E31562"/>
    <w:rsid w:val="00E32E5C"/>
    <w:rsid w:val="00E33A8D"/>
    <w:rsid w:val="00E34B25"/>
    <w:rsid w:val="00E3677D"/>
    <w:rsid w:val="00E368A7"/>
    <w:rsid w:val="00E41674"/>
    <w:rsid w:val="00E4197A"/>
    <w:rsid w:val="00E43D2A"/>
    <w:rsid w:val="00E44DB3"/>
    <w:rsid w:val="00E454ED"/>
    <w:rsid w:val="00E45507"/>
    <w:rsid w:val="00E465E2"/>
    <w:rsid w:val="00E4679C"/>
    <w:rsid w:val="00E516DA"/>
    <w:rsid w:val="00E540A5"/>
    <w:rsid w:val="00E63DEA"/>
    <w:rsid w:val="00E67661"/>
    <w:rsid w:val="00E67F6C"/>
    <w:rsid w:val="00E7016F"/>
    <w:rsid w:val="00E73833"/>
    <w:rsid w:val="00E75096"/>
    <w:rsid w:val="00E77046"/>
    <w:rsid w:val="00E77DCA"/>
    <w:rsid w:val="00E80C92"/>
    <w:rsid w:val="00E80E7D"/>
    <w:rsid w:val="00E82CC7"/>
    <w:rsid w:val="00E84118"/>
    <w:rsid w:val="00E864A4"/>
    <w:rsid w:val="00E86DDB"/>
    <w:rsid w:val="00E904C0"/>
    <w:rsid w:val="00E90739"/>
    <w:rsid w:val="00E91496"/>
    <w:rsid w:val="00E92ADC"/>
    <w:rsid w:val="00E9508C"/>
    <w:rsid w:val="00E96D0D"/>
    <w:rsid w:val="00E96F84"/>
    <w:rsid w:val="00E97DB0"/>
    <w:rsid w:val="00EA060F"/>
    <w:rsid w:val="00EA1E5D"/>
    <w:rsid w:val="00EA477D"/>
    <w:rsid w:val="00EA515C"/>
    <w:rsid w:val="00EA60AF"/>
    <w:rsid w:val="00EA6179"/>
    <w:rsid w:val="00EA68C9"/>
    <w:rsid w:val="00EA72BD"/>
    <w:rsid w:val="00EA7996"/>
    <w:rsid w:val="00EB00BB"/>
    <w:rsid w:val="00EB059B"/>
    <w:rsid w:val="00EB3917"/>
    <w:rsid w:val="00EB3FE5"/>
    <w:rsid w:val="00EB4A02"/>
    <w:rsid w:val="00EB69C1"/>
    <w:rsid w:val="00EC7EEA"/>
    <w:rsid w:val="00ED0F0E"/>
    <w:rsid w:val="00ED13D2"/>
    <w:rsid w:val="00ED3549"/>
    <w:rsid w:val="00ED3703"/>
    <w:rsid w:val="00ED3D45"/>
    <w:rsid w:val="00ED4DA8"/>
    <w:rsid w:val="00ED5627"/>
    <w:rsid w:val="00ED56BD"/>
    <w:rsid w:val="00ED5D1C"/>
    <w:rsid w:val="00ED5D7A"/>
    <w:rsid w:val="00ED6F4B"/>
    <w:rsid w:val="00ED7BA0"/>
    <w:rsid w:val="00EE099D"/>
    <w:rsid w:val="00EE2A88"/>
    <w:rsid w:val="00EE2B4E"/>
    <w:rsid w:val="00EE6C0D"/>
    <w:rsid w:val="00EE71D7"/>
    <w:rsid w:val="00EF020B"/>
    <w:rsid w:val="00EF08DF"/>
    <w:rsid w:val="00EF120C"/>
    <w:rsid w:val="00EF324A"/>
    <w:rsid w:val="00EF4128"/>
    <w:rsid w:val="00EF4983"/>
    <w:rsid w:val="00EF4BEF"/>
    <w:rsid w:val="00EF62A5"/>
    <w:rsid w:val="00EF7C3E"/>
    <w:rsid w:val="00F00321"/>
    <w:rsid w:val="00F03B34"/>
    <w:rsid w:val="00F04A4F"/>
    <w:rsid w:val="00F05AA6"/>
    <w:rsid w:val="00F1003C"/>
    <w:rsid w:val="00F12BD1"/>
    <w:rsid w:val="00F134DB"/>
    <w:rsid w:val="00F14170"/>
    <w:rsid w:val="00F144EC"/>
    <w:rsid w:val="00F14598"/>
    <w:rsid w:val="00F15545"/>
    <w:rsid w:val="00F155DC"/>
    <w:rsid w:val="00F15E14"/>
    <w:rsid w:val="00F17954"/>
    <w:rsid w:val="00F17DD2"/>
    <w:rsid w:val="00F22438"/>
    <w:rsid w:val="00F241DC"/>
    <w:rsid w:val="00F251B1"/>
    <w:rsid w:val="00F25C49"/>
    <w:rsid w:val="00F2763B"/>
    <w:rsid w:val="00F279A0"/>
    <w:rsid w:val="00F315A8"/>
    <w:rsid w:val="00F315C4"/>
    <w:rsid w:val="00F329D7"/>
    <w:rsid w:val="00F32D4C"/>
    <w:rsid w:val="00F330AD"/>
    <w:rsid w:val="00F362A2"/>
    <w:rsid w:val="00F36630"/>
    <w:rsid w:val="00F36E4E"/>
    <w:rsid w:val="00F4058F"/>
    <w:rsid w:val="00F4078D"/>
    <w:rsid w:val="00F41463"/>
    <w:rsid w:val="00F4199A"/>
    <w:rsid w:val="00F42912"/>
    <w:rsid w:val="00F42A10"/>
    <w:rsid w:val="00F44411"/>
    <w:rsid w:val="00F44414"/>
    <w:rsid w:val="00F47AA3"/>
    <w:rsid w:val="00F47D91"/>
    <w:rsid w:val="00F50267"/>
    <w:rsid w:val="00F5042D"/>
    <w:rsid w:val="00F50E0C"/>
    <w:rsid w:val="00F52866"/>
    <w:rsid w:val="00F52B92"/>
    <w:rsid w:val="00F53B6A"/>
    <w:rsid w:val="00F53ED9"/>
    <w:rsid w:val="00F57CED"/>
    <w:rsid w:val="00F57E9E"/>
    <w:rsid w:val="00F62D6B"/>
    <w:rsid w:val="00F6474A"/>
    <w:rsid w:val="00F65651"/>
    <w:rsid w:val="00F65B56"/>
    <w:rsid w:val="00F66EA0"/>
    <w:rsid w:val="00F67A5C"/>
    <w:rsid w:val="00F7141D"/>
    <w:rsid w:val="00F71490"/>
    <w:rsid w:val="00F73E24"/>
    <w:rsid w:val="00F743D0"/>
    <w:rsid w:val="00F75723"/>
    <w:rsid w:val="00F75BBE"/>
    <w:rsid w:val="00F75CFF"/>
    <w:rsid w:val="00F763AE"/>
    <w:rsid w:val="00F770FE"/>
    <w:rsid w:val="00F8086D"/>
    <w:rsid w:val="00F80ECA"/>
    <w:rsid w:val="00F8169C"/>
    <w:rsid w:val="00F822A3"/>
    <w:rsid w:val="00F824DF"/>
    <w:rsid w:val="00F83AD7"/>
    <w:rsid w:val="00F841E7"/>
    <w:rsid w:val="00F8518D"/>
    <w:rsid w:val="00F85F69"/>
    <w:rsid w:val="00F86CF0"/>
    <w:rsid w:val="00F87C5A"/>
    <w:rsid w:val="00F912F0"/>
    <w:rsid w:val="00F91950"/>
    <w:rsid w:val="00F93C48"/>
    <w:rsid w:val="00F946FB"/>
    <w:rsid w:val="00F947A8"/>
    <w:rsid w:val="00F96ECF"/>
    <w:rsid w:val="00F970C0"/>
    <w:rsid w:val="00F97C85"/>
    <w:rsid w:val="00FA29FE"/>
    <w:rsid w:val="00FA492B"/>
    <w:rsid w:val="00FB10ED"/>
    <w:rsid w:val="00FB244B"/>
    <w:rsid w:val="00FB2670"/>
    <w:rsid w:val="00FB2AFA"/>
    <w:rsid w:val="00FB406D"/>
    <w:rsid w:val="00FB467C"/>
    <w:rsid w:val="00FB5A96"/>
    <w:rsid w:val="00FB5C67"/>
    <w:rsid w:val="00FC181E"/>
    <w:rsid w:val="00FC2A06"/>
    <w:rsid w:val="00FC7813"/>
    <w:rsid w:val="00FD10CA"/>
    <w:rsid w:val="00FD240C"/>
    <w:rsid w:val="00FD2FD6"/>
    <w:rsid w:val="00FD30A5"/>
    <w:rsid w:val="00FD3A8F"/>
    <w:rsid w:val="00FD4479"/>
    <w:rsid w:val="00FD5A47"/>
    <w:rsid w:val="00FD6904"/>
    <w:rsid w:val="00FD6C37"/>
    <w:rsid w:val="00FD7F0D"/>
    <w:rsid w:val="00FD7FE0"/>
    <w:rsid w:val="00FE0034"/>
    <w:rsid w:val="00FE0B23"/>
    <w:rsid w:val="00FE43AB"/>
    <w:rsid w:val="00FE4849"/>
    <w:rsid w:val="00FE547C"/>
    <w:rsid w:val="00FF1255"/>
    <w:rsid w:val="00FF1ECC"/>
    <w:rsid w:val="00FF21A0"/>
    <w:rsid w:val="00FF2398"/>
    <w:rsid w:val="00FF37F4"/>
    <w:rsid w:val="00FF3BB0"/>
    <w:rsid w:val="00FF3CA1"/>
    <w:rsid w:val="00FF783C"/>
    <w:rsid w:val="019E0321"/>
    <w:rsid w:val="56CF2E35"/>
    <w:rsid w:val="6FCD1E54"/>
    <w:rsid w:val="70D3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 w:cs="Times New Roman"/>
      <w:kern w:val="2"/>
      <w:sz w:val="32"/>
      <w:szCs w:val="20"/>
      <w:lang w:val="en-US" w:eastAsia="zh-CN" w:bidi="ar-SA"/>
    </w:rPr>
  </w:style>
  <w:style w:type="paragraph" w:styleId="2">
    <w:name w:val="heading 1"/>
    <w:basedOn w:val="1"/>
    <w:next w:val="1"/>
    <w:link w:val="27"/>
    <w:qFormat/>
    <w:uiPriority w:val="9"/>
    <w:pPr>
      <w:pageBreakBefore/>
      <w:spacing w:before="156" w:beforeLines="50" w:after="156" w:afterLines="50"/>
      <w:ind w:firstLine="723"/>
      <w:jc w:val="center"/>
      <w:outlineLvl w:val="0"/>
    </w:pPr>
    <w:rPr>
      <w:rFonts w:eastAsia="黑体" w:asciiTheme="minorHAnsi" w:hAnsiTheme="minorHAnsi" w:cstheme="minorBidi"/>
      <w:b/>
      <w:bCs/>
      <w:kern w:val="44"/>
      <w:sz w:val="36"/>
      <w:szCs w:val="36"/>
    </w:rPr>
  </w:style>
  <w:style w:type="paragraph" w:styleId="3">
    <w:name w:val="heading 2"/>
    <w:basedOn w:val="1"/>
    <w:next w:val="1"/>
    <w:link w:val="28"/>
    <w:unhideWhenUsed/>
    <w:qFormat/>
    <w:uiPriority w:val="9"/>
    <w:pPr>
      <w:ind w:firstLine="643"/>
      <w:jc w:val="left"/>
      <w:outlineLvl w:val="1"/>
    </w:pPr>
    <w:rPr>
      <w:rFonts w:ascii="楷体" w:hAnsi="楷体" w:eastAsia="宋体" w:cstheme="majorBidi"/>
      <w:b/>
      <w:bCs/>
      <w:szCs w:val="32"/>
    </w:rPr>
  </w:style>
  <w:style w:type="paragraph" w:styleId="4">
    <w:name w:val="heading 3"/>
    <w:basedOn w:val="1"/>
    <w:next w:val="1"/>
    <w:link w:val="29"/>
    <w:unhideWhenUsed/>
    <w:qFormat/>
    <w:uiPriority w:val="9"/>
    <w:pPr>
      <w:keepNext/>
      <w:keepLines/>
      <w:outlineLvl w:val="2"/>
    </w:pPr>
    <w:rPr>
      <w:rFonts w:eastAsia="楷体" w:asciiTheme="minorHAnsi" w:hAnsiTheme="minorHAnsi" w:cstheme="minorBidi"/>
      <w:b/>
      <w:bCs/>
      <w:szCs w:val="32"/>
    </w:rPr>
  </w:style>
  <w:style w:type="paragraph" w:styleId="5">
    <w:name w:val="heading 4"/>
    <w:basedOn w:val="1"/>
    <w:next w:val="1"/>
    <w:link w:val="30"/>
    <w:unhideWhenUsed/>
    <w:qFormat/>
    <w:uiPriority w:val="9"/>
    <w:pPr>
      <w:ind w:firstLine="643"/>
      <w:outlineLvl w:val="3"/>
    </w:pPr>
    <w:rPr>
      <w:rFonts w:asciiTheme="majorHAnsi" w:hAnsiTheme="majorHAnsi" w:cstheme="majorBidi"/>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920"/>
      <w:jc w:val="left"/>
    </w:pPr>
    <w:rPr>
      <w:rFonts w:asciiTheme="minorHAnsi" w:eastAsiaTheme="minorHAnsi"/>
      <w:sz w:val="18"/>
      <w:szCs w:val="18"/>
    </w:rPr>
  </w:style>
  <w:style w:type="paragraph" w:styleId="7">
    <w:name w:val="Salutation"/>
    <w:basedOn w:val="1"/>
    <w:next w:val="1"/>
    <w:link w:val="42"/>
    <w:semiHidden/>
    <w:unhideWhenUsed/>
    <w:qFormat/>
    <w:uiPriority w:val="99"/>
    <w:pPr>
      <w:adjustRightInd/>
      <w:snapToGrid/>
      <w:spacing w:line="560" w:lineRule="exact"/>
    </w:pPr>
    <w:rPr>
      <w:sz w:val="30"/>
    </w:rPr>
  </w:style>
  <w:style w:type="paragraph" w:styleId="8">
    <w:name w:val="Body Text Indent"/>
    <w:basedOn w:val="1"/>
    <w:link w:val="41"/>
    <w:qFormat/>
    <w:uiPriority w:val="0"/>
    <w:pPr>
      <w:adjustRightInd/>
      <w:snapToGrid/>
      <w:spacing w:before="260" w:after="260" w:line="560" w:lineRule="exact"/>
      <w:ind w:firstLine="539"/>
    </w:pPr>
    <w:rPr>
      <w:rFonts w:eastAsia="仿宋_GB2312"/>
      <w:spacing w:val="-12"/>
    </w:rPr>
  </w:style>
  <w:style w:type="paragraph" w:styleId="9">
    <w:name w:val="toc 5"/>
    <w:basedOn w:val="1"/>
    <w:next w:val="1"/>
    <w:unhideWhenUsed/>
    <w:qFormat/>
    <w:uiPriority w:val="39"/>
    <w:pPr>
      <w:ind w:left="1280"/>
      <w:jc w:val="left"/>
    </w:pPr>
    <w:rPr>
      <w:rFonts w:asciiTheme="minorHAnsi" w:eastAsiaTheme="minorHAnsi"/>
      <w:sz w:val="18"/>
      <w:szCs w:val="18"/>
    </w:rPr>
  </w:style>
  <w:style w:type="paragraph" w:styleId="10">
    <w:name w:val="toc 3"/>
    <w:basedOn w:val="1"/>
    <w:next w:val="1"/>
    <w:unhideWhenUsed/>
    <w:qFormat/>
    <w:uiPriority w:val="39"/>
    <w:pPr>
      <w:ind w:left="640"/>
      <w:jc w:val="left"/>
    </w:pPr>
    <w:rPr>
      <w:rFonts w:asciiTheme="minorHAnsi" w:eastAsiaTheme="minorHAnsi"/>
      <w:i/>
      <w:iCs/>
      <w:sz w:val="20"/>
    </w:rPr>
  </w:style>
  <w:style w:type="paragraph" w:styleId="11">
    <w:name w:val="toc 8"/>
    <w:basedOn w:val="1"/>
    <w:next w:val="1"/>
    <w:unhideWhenUsed/>
    <w:qFormat/>
    <w:uiPriority w:val="39"/>
    <w:pPr>
      <w:ind w:left="2240"/>
      <w:jc w:val="left"/>
    </w:pPr>
    <w:rPr>
      <w:rFonts w:asciiTheme="minorHAnsi" w:eastAsiaTheme="minorHAnsi"/>
      <w:sz w:val="18"/>
      <w:szCs w:val="18"/>
    </w:rPr>
  </w:style>
  <w:style w:type="paragraph" w:styleId="12">
    <w:name w:val="Date"/>
    <w:basedOn w:val="1"/>
    <w:next w:val="1"/>
    <w:link w:val="35"/>
    <w:semiHidden/>
    <w:unhideWhenUsed/>
    <w:qFormat/>
    <w:uiPriority w:val="99"/>
    <w:pPr>
      <w:ind w:left="100" w:leftChars="2500"/>
    </w:pPr>
  </w:style>
  <w:style w:type="paragraph" w:styleId="13">
    <w:name w:val="Balloon Text"/>
    <w:basedOn w:val="1"/>
    <w:link w:val="39"/>
    <w:semiHidden/>
    <w:unhideWhenUsed/>
    <w:qFormat/>
    <w:uiPriority w:val="99"/>
    <w:pPr>
      <w:spacing w:line="240" w:lineRule="auto"/>
    </w:pPr>
    <w:rPr>
      <w:sz w:val="18"/>
      <w:szCs w:val="18"/>
    </w:rPr>
  </w:style>
  <w:style w:type="paragraph" w:styleId="14">
    <w:name w:val="footer"/>
    <w:basedOn w:val="1"/>
    <w:link w:val="34"/>
    <w:unhideWhenUsed/>
    <w:qFormat/>
    <w:uiPriority w:val="99"/>
    <w:pPr>
      <w:tabs>
        <w:tab w:val="center" w:pos="4153"/>
        <w:tab w:val="right" w:pos="8306"/>
      </w:tabs>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tabs>
        <w:tab w:val="right" w:leader="dot" w:pos="8296"/>
      </w:tabs>
      <w:spacing w:before="120" w:after="120"/>
      <w:ind w:firstLine="640"/>
      <w:jc w:val="left"/>
    </w:pPr>
    <w:rPr>
      <w:rFonts w:eastAsia="黑体"/>
      <w:bCs/>
      <w:caps/>
    </w:rPr>
  </w:style>
  <w:style w:type="paragraph" w:styleId="17">
    <w:name w:val="toc 4"/>
    <w:basedOn w:val="1"/>
    <w:next w:val="1"/>
    <w:unhideWhenUsed/>
    <w:qFormat/>
    <w:uiPriority w:val="39"/>
    <w:pPr>
      <w:ind w:left="960"/>
      <w:jc w:val="left"/>
    </w:pPr>
    <w:rPr>
      <w:rFonts w:asciiTheme="minorHAnsi" w:eastAsiaTheme="minorHAnsi"/>
      <w:sz w:val="18"/>
      <w:szCs w:val="18"/>
    </w:rPr>
  </w:style>
  <w:style w:type="paragraph" w:styleId="18">
    <w:name w:val="footnote text"/>
    <w:basedOn w:val="1"/>
    <w:link w:val="31"/>
    <w:semiHidden/>
    <w:unhideWhenUsed/>
    <w:qFormat/>
    <w:uiPriority w:val="99"/>
    <w:pPr>
      <w:jc w:val="left"/>
    </w:pPr>
    <w:rPr>
      <w:sz w:val="18"/>
      <w:szCs w:val="18"/>
    </w:rPr>
  </w:style>
  <w:style w:type="paragraph" w:styleId="19">
    <w:name w:val="toc 6"/>
    <w:basedOn w:val="1"/>
    <w:next w:val="1"/>
    <w:unhideWhenUsed/>
    <w:qFormat/>
    <w:uiPriority w:val="39"/>
    <w:pPr>
      <w:ind w:left="1600"/>
      <w:jc w:val="left"/>
    </w:pPr>
    <w:rPr>
      <w:rFonts w:asciiTheme="minorHAnsi" w:eastAsiaTheme="minorHAnsi"/>
      <w:sz w:val="18"/>
      <w:szCs w:val="18"/>
    </w:rPr>
  </w:style>
  <w:style w:type="paragraph" w:styleId="20">
    <w:name w:val="toc 2"/>
    <w:basedOn w:val="1"/>
    <w:next w:val="1"/>
    <w:unhideWhenUsed/>
    <w:qFormat/>
    <w:uiPriority w:val="39"/>
    <w:pPr>
      <w:ind w:left="320"/>
      <w:jc w:val="left"/>
    </w:pPr>
    <w:rPr>
      <w:rFonts w:eastAsia="楷体"/>
      <w:smallCaps/>
    </w:rPr>
  </w:style>
  <w:style w:type="paragraph" w:styleId="21">
    <w:name w:val="toc 9"/>
    <w:basedOn w:val="1"/>
    <w:next w:val="1"/>
    <w:unhideWhenUsed/>
    <w:qFormat/>
    <w:uiPriority w:val="39"/>
    <w:pPr>
      <w:ind w:left="2560"/>
      <w:jc w:val="left"/>
    </w:pPr>
    <w:rPr>
      <w:rFonts w:asciiTheme="minorHAnsi" w:eastAsiaTheme="minorHAnsi"/>
      <w:sz w:val="18"/>
      <w:szCs w:val="18"/>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footnote reference"/>
    <w:basedOn w:val="24"/>
    <w:semiHidden/>
    <w:unhideWhenUsed/>
    <w:qFormat/>
    <w:uiPriority w:val="99"/>
    <w:rPr>
      <w:vertAlign w:val="superscript"/>
    </w:rPr>
  </w:style>
  <w:style w:type="character" w:customStyle="1" w:styleId="27">
    <w:name w:val="标题 1 字符"/>
    <w:basedOn w:val="24"/>
    <w:link w:val="2"/>
    <w:qFormat/>
    <w:uiPriority w:val="9"/>
    <w:rPr>
      <w:rFonts w:eastAsia="黑体"/>
      <w:b/>
      <w:bCs/>
      <w:kern w:val="44"/>
      <w:sz w:val="36"/>
      <w:szCs w:val="36"/>
    </w:rPr>
  </w:style>
  <w:style w:type="character" w:customStyle="1" w:styleId="28">
    <w:name w:val="标题 2 字符"/>
    <w:basedOn w:val="24"/>
    <w:link w:val="3"/>
    <w:qFormat/>
    <w:uiPriority w:val="9"/>
    <w:rPr>
      <w:rFonts w:ascii="楷体" w:hAnsi="楷体" w:eastAsia="宋体" w:cstheme="majorBidi"/>
      <w:b/>
      <w:bCs/>
      <w:sz w:val="32"/>
      <w:szCs w:val="32"/>
    </w:rPr>
  </w:style>
  <w:style w:type="character" w:customStyle="1" w:styleId="29">
    <w:name w:val="标题 3 字符"/>
    <w:basedOn w:val="24"/>
    <w:link w:val="4"/>
    <w:qFormat/>
    <w:uiPriority w:val="9"/>
    <w:rPr>
      <w:rFonts w:eastAsia="楷体"/>
      <w:b/>
      <w:bCs/>
      <w:sz w:val="32"/>
      <w:szCs w:val="32"/>
    </w:rPr>
  </w:style>
  <w:style w:type="character" w:customStyle="1" w:styleId="30">
    <w:name w:val="标题 4 字符"/>
    <w:basedOn w:val="24"/>
    <w:link w:val="5"/>
    <w:qFormat/>
    <w:uiPriority w:val="9"/>
    <w:rPr>
      <w:rFonts w:eastAsia="仿宋" w:asciiTheme="majorHAnsi" w:hAnsiTheme="majorHAnsi" w:cstheme="majorBidi"/>
      <w:b/>
      <w:bCs/>
      <w:sz w:val="32"/>
      <w:szCs w:val="28"/>
    </w:rPr>
  </w:style>
  <w:style w:type="character" w:customStyle="1" w:styleId="31">
    <w:name w:val="脚注文本 字符"/>
    <w:basedOn w:val="24"/>
    <w:link w:val="18"/>
    <w:semiHidden/>
    <w:qFormat/>
    <w:uiPriority w:val="99"/>
    <w:rPr>
      <w:rFonts w:ascii="Times New Roman" w:hAnsi="Times New Roman" w:eastAsia="仿宋_GB2312" w:cs="Times New Roman"/>
      <w:sz w:val="18"/>
      <w:szCs w:val="18"/>
    </w:rPr>
  </w:style>
  <w:style w:type="paragraph" w:customStyle="1" w:styleId="32">
    <w:name w:val="TOC Heading"/>
    <w:basedOn w:val="2"/>
    <w:next w:val="1"/>
    <w:unhideWhenUsed/>
    <w:qFormat/>
    <w:uiPriority w:val="39"/>
    <w:pPr>
      <w:keepNext/>
      <w:keepLines/>
      <w:widowControl/>
      <w:spacing w:before="240" w:beforeLines="0" w:after="0" w:afterLines="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页眉 字符"/>
    <w:basedOn w:val="24"/>
    <w:link w:val="15"/>
    <w:qFormat/>
    <w:uiPriority w:val="99"/>
    <w:rPr>
      <w:rFonts w:ascii="Times New Roman" w:hAnsi="Times New Roman" w:eastAsia="仿宋_GB2312" w:cs="Times New Roman"/>
      <w:sz w:val="18"/>
      <w:szCs w:val="18"/>
    </w:rPr>
  </w:style>
  <w:style w:type="character" w:customStyle="1" w:styleId="34">
    <w:name w:val="页脚 字符"/>
    <w:basedOn w:val="24"/>
    <w:link w:val="14"/>
    <w:qFormat/>
    <w:uiPriority w:val="99"/>
    <w:rPr>
      <w:rFonts w:ascii="Times New Roman" w:hAnsi="Times New Roman" w:eastAsia="仿宋_GB2312" w:cs="Times New Roman"/>
      <w:sz w:val="18"/>
      <w:szCs w:val="18"/>
    </w:rPr>
  </w:style>
  <w:style w:type="character" w:customStyle="1" w:styleId="35">
    <w:name w:val="日期 字符"/>
    <w:basedOn w:val="24"/>
    <w:link w:val="12"/>
    <w:semiHidden/>
    <w:qFormat/>
    <w:uiPriority w:val="99"/>
    <w:rPr>
      <w:rFonts w:ascii="Times New Roman" w:hAnsi="Times New Roman" w:eastAsia="仿宋_GB2312" w:cs="Times New Roman"/>
      <w:sz w:val="32"/>
      <w:szCs w:val="20"/>
    </w:rPr>
  </w:style>
  <w:style w:type="paragraph" w:customStyle="1" w:styleId="36">
    <w:name w:val="BodyText1I2"/>
    <w:basedOn w:val="1"/>
    <w:qFormat/>
    <w:uiPriority w:val="0"/>
    <w:pPr>
      <w:adjustRightInd/>
      <w:snapToGrid/>
      <w:spacing w:after="120"/>
      <w:ind w:left="420" w:leftChars="200" w:firstLine="420"/>
      <w:textAlignment w:val="baseline"/>
    </w:pPr>
    <w:rPr>
      <w:rFonts w:eastAsia="宋体"/>
      <w:sz w:val="21"/>
      <w:szCs w:val="22"/>
    </w:rPr>
  </w:style>
  <w:style w:type="table" w:customStyle="1" w:styleId="37">
    <w:name w:val="网格型1"/>
    <w:basedOn w:val="2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No Spacing"/>
    <w:qFormat/>
    <w:uiPriority w:val="1"/>
    <w:pPr>
      <w:widowControl w:val="0"/>
      <w:adjustRightInd w:val="0"/>
      <w:snapToGrid w:val="0"/>
      <w:ind w:firstLine="200" w:firstLineChars="200"/>
      <w:jc w:val="both"/>
    </w:pPr>
    <w:rPr>
      <w:rFonts w:ascii="Times New Roman" w:hAnsi="Times New Roman" w:eastAsia="仿宋" w:cs="Times New Roman"/>
      <w:kern w:val="2"/>
      <w:sz w:val="32"/>
      <w:szCs w:val="20"/>
      <w:lang w:val="en-US" w:eastAsia="zh-CN" w:bidi="ar-SA"/>
    </w:rPr>
  </w:style>
  <w:style w:type="character" w:customStyle="1" w:styleId="39">
    <w:name w:val="批注框文本 字符"/>
    <w:basedOn w:val="24"/>
    <w:link w:val="13"/>
    <w:semiHidden/>
    <w:qFormat/>
    <w:uiPriority w:val="99"/>
    <w:rPr>
      <w:rFonts w:ascii="Times New Roman" w:hAnsi="Times New Roman" w:eastAsia="仿宋" w:cs="Times New Roman"/>
      <w:sz w:val="18"/>
      <w:szCs w:val="18"/>
    </w:rPr>
  </w:style>
  <w:style w:type="paragraph" w:styleId="40">
    <w:name w:val="List Paragraph"/>
    <w:basedOn w:val="1"/>
    <w:qFormat/>
    <w:uiPriority w:val="34"/>
    <w:pPr>
      <w:ind w:firstLine="420"/>
    </w:pPr>
  </w:style>
  <w:style w:type="character" w:customStyle="1" w:styleId="41">
    <w:name w:val="正文文本缩进 字符"/>
    <w:basedOn w:val="24"/>
    <w:link w:val="8"/>
    <w:qFormat/>
    <w:uiPriority w:val="0"/>
    <w:rPr>
      <w:rFonts w:ascii="Times New Roman" w:hAnsi="Times New Roman" w:eastAsia="仿宋_GB2312" w:cs="Times New Roman"/>
      <w:spacing w:val="-12"/>
      <w:sz w:val="32"/>
      <w:szCs w:val="20"/>
    </w:rPr>
  </w:style>
  <w:style w:type="character" w:customStyle="1" w:styleId="42">
    <w:name w:val="称呼 字符"/>
    <w:basedOn w:val="24"/>
    <w:link w:val="7"/>
    <w:semiHidden/>
    <w:qFormat/>
    <w:uiPriority w:val="99"/>
    <w:rPr>
      <w:rFonts w:ascii="Times New Roman" w:hAnsi="Times New Roman" w:eastAsia="仿宋" w:cs="Times New Roman"/>
      <w:sz w:val="30"/>
      <w:szCs w:val="20"/>
    </w:rPr>
  </w:style>
  <w:style w:type="table" w:customStyle="1" w:styleId="43">
    <w:name w:val="网格型2"/>
    <w:basedOn w:val="22"/>
    <w:qFormat/>
    <w:uiPriority w:val="0"/>
    <w:pPr>
      <w:spacing w:beforeLines="100" w:afterLines="50"/>
      <w:jc w:val="center"/>
    </w:pPr>
    <w:rPr>
      <w:rFonts w:ascii="Times New Roman" w:hAnsi="Times New Roman" w:eastAsia="仿宋_GB2312" w:cs="Times New Roman"/>
      <w:kern w:val="0"/>
      <w:sz w:val="3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Body text|1_"/>
    <w:basedOn w:val="24"/>
    <w:link w:val="45"/>
    <w:qFormat/>
    <w:locked/>
    <w:uiPriority w:val="0"/>
    <w:rPr>
      <w:rFonts w:ascii="宋体" w:hAnsi="宋体" w:eastAsia="宋体" w:cs="宋体"/>
      <w:sz w:val="32"/>
      <w:szCs w:val="32"/>
      <w:lang w:val="zh-TW" w:eastAsia="zh-TW" w:bidi="zh-TW"/>
    </w:rPr>
  </w:style>
  <w:style w:type="paragraph" w:customStyle="1" w:styleId="45">
    <w:name w:val="Body text|1"/>
    <w:basedOn w:val="1"/>
    <w:link w:val="44"/>
    <w:qFormat/>
    <w:uiPriority w:val="0"/>
    <w:pPr>
      <w:adjustRightInd/>
      <w:snapToGrid/>
      <w:spacing w:line="388" w:lineRule="auto"/>
      <w:ind w:firstLine="400" w:firstLineChars="0"/>
      <w:jc w:val="left"/>
    </w:pPr>
    <w:rPr>
      <w:rFonts w:ascii="宋体" w:hAnsi="宋体" w:eastAsia="宋体" w:cs="宋体"/>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3EB0F-B7FA-401A-9312-05FC0F8925E5}">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30900</Words>
  <Characters>31499</Characters>
  <Lines>255</Lines>
  <Paragraphs>71</Paragraphs>
  <TotalTime>2</TotalTime>
  <ScaleCrop>false</ScaleCrop>
  <LinksUpToDate>false</LinksUpToDate>
  <CharactersWithSpaces>31727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2021-11-19T09:19:00Z</dcterms:created>
  <dc:creator>Administrator</dc:creator>
  <cp:lastModifiedBy>Lionel</cp:lastModifiedBy>
  <cp:lastPrinted>2022-02-09T07:35:00Z</cp:lastPrinted>
  <dcterms:modified xsi:type="dcterms:W3CDTF">2023-02-14T02:57:22Z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5156534D79C640BD9B0ECA6D2F0B7D20</vt:lpwstr>
  </property>
</Properties>
</file>