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附件2：</w:t>
      </w:r>
    </w:p>
    <w:p>
      <w:pP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  <w:t>揭阳市揭东区镇街道综合行政执法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  <w:t>规范化建设制度规范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"/>
        </w:rPr>
        <w:t xml:space="preserve">一、办案区制度规范 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  <w:t>（一）行政检查流程图</w:t>
      </w:r>
    </w:p>
    <w:p>
      <w:pPr>
        <w:bidi w:val="0"/>
        <w:ind w:firstLine="488" w:firstLineChars="0"/>
        <w:jc w:val="left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19050</wp:posOffset>
            </wp:positionV>
            <wp:extent cx="5647055" cy="4921885"/>
            <wp:effectExtent l="0" t="0" r="10795" b="12065"/>
            <wp:wrapSquare wrapText="bothSides"/>
            <wp:docPr id="3" name="图片 2" descr="行政检查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行政检查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893445</wp:posOffset>
            </wp:positionV>
            <wp:extent cx="6057265" cy="6116955"/>
            <wp:effectExtent l="0" t="0" r="635" b="17145"/>
            <wp:wrapSquare wrapText="bothSides"/>
            <wp:docPr id="4" name="图片 3" descr="行政处罚流程图（简易程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行政处罚流程图（简易程序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  <w:t>行政处罚流程图（简易程序）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楷体" w:hAnsi="楷体" w:eastAsia="楷体" w:cs="楷体"/>
          <w:color w:val="0D0D0D"/>
          <w:kern w:val="0"/>
          <w:sz w:val="28"/>
          <w:szCs w:val="28"/>
          <w:lang w:val="en-US" w:eastAsia="zh-CN" w:bidi="ar"/>
        </w:rPr>
      </w:pPr>
    </w:p>
    <w:p>
      <w:pPr>
        <w:pStyle w:val="5"/>
        <w:rPr>
          <w:rFonts w:hint="eastAsia"/>
          <w:b w:val="0"/>
          <w:bCs/>
          <w:sz w:val="32"/>
          <w:szCs w:val="32"/>
          <w:lang w:eastAsia="zh-CN"/>
        </w:rPr>
      </w:pPr>
      <w:bookmarkStart w:id="0" w:name="_Toc5468"/>
      <w:bookmarkStart w:id="1" w:name="_Toc25284"/>
      <w:r>
        <w:rPr>
          <w:rFonts w:hint="eastAsia"/>
          <w:b w:val="0"/>
          <w:bCs/>
          <w:sz w:val="32"/>
          <w:szCs w:val="32"/>
          <w:lang w:val="en-US" w:eastAsia="zh-CN"/>
        </w:rPr>
        <w:t>（一）行政处罚流程图（普通程序）</w:t>
      </w:r>
      <w:bookmarkEnd w:id="0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34925</wp:posOffset>
            </wp:positionV>
            <wp:extent cx="5985510" cy="5975985"/>
            <wp:effectExtent l="0" t="0" r="15240" b="5715"/>
            <wp:wrapSquare wrapText="bothSides"/>
            <wp:docPr id="5" name="图片 4" descr="行政处罚流程图（普通程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行政处罚流程图（普通程序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6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widowControl/>
        <w:suppressLineNumbers w:val="0"/>
        <w:ind w:firstLine="640" w:firstLineChars="200"/>
        <w:jc w:val="left"/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（四）行政强制措施流程图</w:t>
      </w:r>
    </w:p>
    <w:p>
      <w:pPr>
        <w:tabs>
          <w:tab w:val="left" w:pos="167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67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67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97155</wp:posOffset>
            </wp:positionV>
            <wp:extent cx="5608320" cy="6070600"/>
            <wp:effectExtent l="0" t="0" r="11430" b="6350"/>
            <wp:wrapSquare wrapText="bothSides"/>
            <wp:docPr id="6" name="图片 5" descr="行政强制措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行政强制措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67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7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7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1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tabs>
          <w:tab w:val="left" w:pos="7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（五）揭阳市县级行政处罚权调整由镇街实行职权目录、揭阳市县级行政强制措施权调整由镇街实行职权目录（第一批）</w:t>
      </w:r>
    </w:p>
    <w:p>
      <w:pPr>
        <w:keepNext w:val="0"/>
        <w:keepLines w:val="0"/>
        <w:pageBreakBefore w:val="0"/>
        <w:tabs>
          <w:tab w:val="left" w:pos="71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（共316项，详见《揭阳市人民政府关于乡镇街道实行综合行政执法的公告》）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left"/>
        <w:textAlignment w:val="auto"/>
      </w:pPr>
      <w:r>
        <w:rPr>
          <w:rFonts w:hint="eastAsia"/>
          <w:lang w:val="en-US" w:eastAsia="zh-CN"/>
        </w:rPr>
        <w:tab/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（六）</w:t>
      </w: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 xml:space="preserve">行政执法公示制度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1.落实执法公示责任。行政执法主体应按照“谁执法、谁公示” 以及“谁执法、谁录入、谁负责”的原则，及时准确完整地记录 并公开执法信息。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2.强化事前公开。行政执法事前环节应公开主体信息、职责信 息、依据信息、程序信息、清单信息和监督信息。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3.规范事中公示。行政执法事中环节应主动公示下列信息：（1）身份信息。（2）执法窗口岗位信息。（3）当事人权利义务信息。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4.加强事后公开。行政执法事后环节应公开下列信息：（1）行政执法结果。（2）每年1月31日前公开上年度行政执法数据和相关行政复议、行政诉讼等数据。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（七）行政执法全过程记录制度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行政执法主体应当通过文字记录、音像记录等方式，对行政执法行为进行记录并归档，实现全过程留痕和可追溯管理。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1.文字记录，包括按照行政执法行为的种类、程序等规范制作的询问笔录、现场检查（勘验）笔录、鉴定意见、行政执法决定书、送达回证等书面记录。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2.音像记录，包括利用现场执法记录设备对现场执法活动进行录音、录像等方式的同步记录。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3.行政执法主体应当按照规定编制行政执法全过程记录清单， 明确本单位音像记录现场执法活动的范围，并向社会公开。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（八）行政执法重大执法决定法制审核制度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1.落实法制审核主体责任。行政执法主体作出重大行政执法决定前，应进行法制审核。未经法制审核或者审核不通过的，不得作出决定。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明确审核范围。凡涉及重大公共利益，社会关注度高，可能造成重大社会影响或引发社会风险，直接关系行政相对人或者第三人重大权益，经过听证程序作出行政执法决定，以及案件情况疑难复杂、涉及多个法律关系的，都要按规定进行法制审核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3.明确审核内容。重大行政执法决定的审核内容主要包括：执法主体资格及行政执法人员资格，认定的事实、证据，法律依据及行政裁量权的行使，执法程序，法律、法规、规章规定的其他内容。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4.明确审核责任。完善重大行政执法决定法制审核制度，确定法制审核流程，明确送审材料报送要求和审核方式、时限、责任。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5.配强法制审核人员。各级行政执法主体按照原则上不少于本单位执法人员总数 5%的要求，配齐、配强法制审核人员（不足 1 人的，按 1 人配备）。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（九）行政调解工作流程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1.申请。申请人申请行政调解，可以书面申请，也可以口头申请。书面申请的，应提交行政调解申请书；口头申请的，工作人员应当场记录基本情况，并交申请人签字确认。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2.受理。接到当事人申请后，应在 5 个工作日内完成材料审查， 提出受理或不予受理的意见。符合条件的，应当在 5 个工作日内启动行政调解程序并及时告知申请人。对被申请人不同意行政调解的，应当在 5 个工作日内书面告知申请人解决纠纷的渠道。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3.调查。受理案件后，要根据双方的争议焦点，采取当事人举证、调查取证、现场勘验、查阅文件和资料等方式进行必要的调查。相关证据应当由双方当事人在调解过程中进行质证。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4.调解。向当事人对初步拟定的调解方案作出说明，征询当事人的意见，对当事人间的分歧进行协调，力求取得一致意见，促成当事人和解，达成调解协议。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5.制作行政调解书。行政调解达成协议的，由各方当事人签订行政调解协议书。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6.履行。调解书生效后当事人应当积极履行。经行政调解达成具有民事合同性质的协议，盖章后，双方当事人可以共同向有管辖权的人民法院提出确认申请。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7.归档。调解结案或调解不成的案件，应由调解员按规定将与案件有关的材料装订归档，妥善保存。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（十）询问室管理规定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1.询问室的日常管理和维护由专人负责，应当保持询问室的设施完善和卫生状况良好。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2.询问室是对当事人、证人、被侵害人等进行询问的专门场所，其他人员不得随意使用，严禁非办案人员进入询问室。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3.调查询问时，行政执法人员不得少于 2 人，不得同时询问多名相关人员。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4.执法人员调查询问时，要首先向被询问人出示有效执法证件，告知被询问人的权利义务及相关事宜，并进行全程录音录像，调查询问影像资料任何人不得擅自删除。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6.调查询问的声像资料随同其他案卷资料共同保存，保存期限按照《广东省行政执法档案管理办法（试行）》执行。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（十一）行政相对人权利义务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1.确认执法身份权。执法人员实施行政检查、案件调查等行政行为时，应当出示有效执法证件，并有 2 名以上（含 2 名）执法人员到场。否则，当事人有权予以拒绝。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申请回避权。对有下列情形之一的办案人员，有权要求其回避：（1）是本案的当事人或者当事人的近亲属；（2）本人或者其近亲属与本案有利害关系；（3）与本案当事人有其他关系，可能影响案件公正处理的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3.陈述、申辩权。行政机关在作出行政处罚决定前，应当告知当事人拟作出行政处罚决定的事实、理由和依据，当事人有权进行陈述、申辩。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4.核对文书权。当事人有权核对现场笔录、询问（调查）笔录，认为笔录有遗漏、差错的，有权要求补充或者更正。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5.申请听证权。（1）较大数额罚款；（2）没收较大数额违法所得、没收较大价值非法财物；（3）降低资质等级、吊销许可证件；（4）责令停产停业、责令关闭、限制从业；（5）其他较重的行政处罚；（6）法律、法规、规章规定的其他情形。以上情形当事人有权要求举行听证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6.如实陈述、配合的义务。当事人有依法、如实提供行政处罚案件的真实情况和有关资料的义务，对行政执法有依法予以配合和接受处理的义务。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7.签收法律文书的义务。当事人对行政机关依法制作的各类法律文书，有接受签收的义务。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8.自觉履行行政执法决定的义务。当事人对已发生法律效力的行政执法决定文书，有依法履行的义务。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（十二）听证室管理规定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1.听证室是对案件所涉具体行政行为进行调查、核实并听取各方面意见的场所，由综合行政执法办公室工作人员负责管理。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2.听证人员应认真做好听证保密工作，严禁外泄涉及国家秘密、商业秘密和当事人隐私的文件资料内容。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3.未经主管领导批准，不得擅自挪用室内设施设备。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4.听证室内应保持整洁卫生，桌椅设置统一，物品摆放整齐，严禁在室内吸烟、喧哗、打闹。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14" w:firstLineChars="200"/>
        <w:jc w:val="both"/>
        <w:textAlignment w:val="auto"/>
        <w:rPr>
          <w:rFonts w:hint="eastAsia" w:ascii="仿宋_GB2312" w:hAnsi="仿宋_GB2312" w:eastAsia="仿宋_GB2312" w:cs="仿宋_GB2312"/>
          <w:w w:val="96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w w:val="96"/>
          <w:kern w:val="0"/>
          <w:sz w:val="32"/>
          <w:szCs w:val="32"/>
          <w:lang w:val="en-US" w:eastAsia="zh-CN" w:bidi="ar"/>
        </w:rPr>
        <w:t xml:space="preserve">5.听证完毕后应及时清扫、整理，关好门窗、关闭电器设备。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（十三）涉案物品处理管理规定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1.涉案物品保管室是保管执法所涉证据材料的场所，应由专人负责管理。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2.室内应保持整洁卫生，做好防火、防盗、防潮、防霉等工作。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3.办案人员应将物证标记清楚、分类妥善放置，管理人员应做好物证登记。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4.办案人员和物证室管理人员未经主管领导批准不得擅自挪用、损毁或者自行处理保管的物证。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5.管理员应定期清点、检查物证，发现物证遗失、损坏等异常情况，应及时向主管领导报告。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（十四）</w:t>
      </w: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听证工作流程图</w:t>
      </w:r>
    </w:p>
    <w:p>
      <w:pPr>
        <w:tabs>
          <w:tab w:val="left" w:pos="773"/>
        </w:tabs>
        <w:bidi w:val="0"/>
        <w:ind w:firstLine="640" w:firstLineChars="200"/>
        <w:jc w:val="lef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4752975" cy="3552825"/>
            <wp:effectExtent l="0" t="0" r="9525" b="9525"/>
            <wp:docPr id="7" name="图片 7" descr="a37f6188a0fd6456a44d8aeb32fb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7f6188a0fd6456a44d8aeb32fb8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二、办公区制度规范</w:t>
      </w:r>
      <w:r>
        <w:rPr>
          <w:rFonts w:ascii="font00000000276c8d88" w:hAnsi="font00000000276c8d88" w:eastAsia="font00000000276c8d88" w:cs="font00000000276c8d88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（一）培训室管理规定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1.培训室是供执法人员及辅助人员、参观者学习培训的场所，应由专人负责管理。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2.管理员应定期维护保养、熟练操作使用室内设施、设备。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3.培训室内应保持整洁卫生，桌椅设置统一，物品摆放整齐，严禁吸烟、喧哗、打闹。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4.参加培训人员应爱护设施设备，不得损坏、挪用。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5.培训室使用完毕后应及时清扫、整理，关好门窗、关闭电器设备。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>（二）综合行政执法办公室管理规定</w:t>
      </w:r>
      <w:r>
        <w:rPr>
          <w:rFonts w:hint="eastAsia" w:ascii="仿宋" w:hAnsi="仿宋" w:eastAsia="仿宋" w:cs="仿宋"/>
          <w:color w:val="0D0D0D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1.综合行政执法办公室是执法人员及辅助人员处理公务的专门场所。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2.办公室内桌椅设备应规范统一，物品摆放应整齐有序；文件资料及时归档。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3.办公室人员应遵守工作秩序，保持室内整洁卫生，严禁在办公室内吸烟、喧哗、打闹。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4.办公室人员离开应关好门窗、关闭电器设备。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 xml:space="preserve">（三）综合行政执法办公室法制审核员职责 </w:t>
      </w: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1.认真学习法律、法规、规章，切实提升自身法律水平和业务素质，保证法制审核工作的法律性、权威性、严肃性。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2.严格依据国家法律法规，对执法工作、各类执法案件进行审查把关和监督，对案件的合法性和合理性进行书面审查。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3.推动落实执法责任制度，适时检查相关法律制度的执行情况，及时纠正执法中出现的不良倾向，防止执法不规范行为的出现，促进监督执法人员严格规范公正文明执法，提高执法水平。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4.对行政案件作出的行政处罚幅度和种类、办案人员引用的法律条款、使用行政处罚自由裁量权的幅度、案件办理程序等发现 错误和不适当的，提出书面意见建议，提交案件审理委员会办理。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5.根据法制审核建档工作需要将有关材料收集并归档。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color w:val="0D0D0D"/>
          <w:kern w:val="0"/>
          <w:sz w:val="32"/>
          <w:szCs w:val="32"/>
          <w:lang w:val="en-US" w:eastAsia="zh-CN" w:bidi="ar"/>
        </w:rPr>
        <w:t xml:space="preserve">（四）档案室管理规定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1.档案室是保管执法档案和重要资料的场所，应由专人负责管理。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2.管理员应做好防火、防盗、防虫、防鼠、防潮、防尘、防高温的措施，保持室内整洁卫生。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3.管理员应编制档案存放位置索引，便于查找检索。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4.借阅档案应办理借阅手续，注明借阅的理由、要求，外单位查阅档案一律凭有效证明，经主管领导同意后方可查阅。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5.管理员、借阅人员应做好档案的保密工作，不准私自将资料复印、外借。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6.无关人员不得进入室内，人员离开档案室要锁好门窗、关闭电源，确保档案安全。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7.管理员工作调动必须认真清理档案，交待管理状况，办好交接手续。</w:t>
      </w:r>
    </w:p>
    <w:p>
      <w:pPr>
        <w:keepNext w:val="0"/>
        <w:keepLines w:val="0"/>
        <w:pageBreakBefore w:val="0"/>
        <w:tabs>
          <w:tab w:val="left" w:pos="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jc w:val="both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7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0" w:firstLineChars="0"/>
        <w:jc w:val="both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</w:rPr>
        <w:t>公开方式：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主动公开</w:t>
      </w:r>
    </w:p>
    <w:p>
      <w:pPr>
        <w:pStyle w:val="10"/>
        <w:keepNext w:val="0"/>
        <w:keepLines w:val="0"/>
        <w:pageBreakBefore w:val="0"/>
        <w:widowControl w:val="0"/>
        <w:tabs>
          <w:tab w:val="right" w:pos="88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339725</wp:posOffset>
                </wp:positionV>
                <wp:extent cx="5577840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8pt;margin-top:26.75pt;height:0pt;width:439.2pt;z-index:251664384;mso-width-relative:page;mso-height-relative:page;" filled="f" stroked="t" coordsize="21600,21600" o:gfxdata="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O/XGNUAAAAHAQAADwAA&#10;AAAAAAABACAAAAAiAAAAZHJzL2Rvd25yZXYueG1sUEsBAhQAFAAAAAgAh07iQFhUugngAQAAowMA&#10;AA4AAAAAAAAAAQAgAAAAJAEAAGRycy9lMm9Eb2MueG1sUEsFBgAAAAAGAAYAWQEAAHYFAAAAAA==&#10;">
                <v:path arrowok="t"/>
                <v:fill on="f" focussize="0,0"/>
                <v:stroke weight="1pt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仿宋_GB2312" w:cs="Times New Roman"/>
          <w:color w:val="auto"/>
          <w:sz w:val="30"/>
          <w:szCs w:val="30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ab/>
      </w:r>
    </w:p>
    <w:p>
      <w:pPr>
        <w:pStyle w:val="10"/>
        <w:keepNext w:val="0"/>
        <w:keepLines w:val="0"/>
        <w:pageBreakBefore w:val="0"/>
        <w:widowControl w:val="0"/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831" w:leftChars="0" w:hanging="831" w:hangingChars="300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w w:val="99"/>
          <w:sz w:val="28"/>
          <w:szCs w:val="28"/>
        </w:rPr>
        <w:t>抄送：区委有关部委办，区人大办，区政协办，区纪委监委办，区武装部</w:t>
      </w:r>
      <w:r>
        <w:rPr>
          <w:rFonts w:hint="default" w:ascii="Times New Roman" w:hAnsi="Times New Roman" w:eastAsia="仿宋_GB2312" w:cs="Times New Roman"/>
          <w:color w:val="auto"/>
          <w:w w:val="99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区法院，区检察院。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 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6160" w:leftChars="0" w:hanging="6160" w:hangingChars="2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12065</wp:posOffset>
                </wp:positionV>
                <wp:extent cx="5608320" cy="1016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08320" cy="1016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0.4pt;margin-top:0.95pt;height:0.8pt;width:441.6pt;z-index:251665408;mso-width-relative:page;mso-height-relative:page;" filled="f" stroked="t" coordsize="21600,21600" o:gfxdata="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QlEINUA&#10;AAAFAQAADwAAAAAAAAABACAAAAAiAAAAZHJzL2Rvd25yZXYueG1sUEsBAhQAFAAAAAgAh07iQK+T&#10;F+/pAQAArwMAAA4AAAAAAAAAAQAgAAAAJAEAAGRycy9lMm9Eb2MueG1sUEsFBgAAAAAGAAYAWQEA&#10;AH8FAAAAAA==&#10;">
                <v:path arrowok="t"/>
                <v:fill on="f" focussize="0,0"/>
                <v:stroke weight="1pt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揭东区人民政府办公室 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  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 202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25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日印发                                                                                        　    </w:t>
      </w:r>
    </w:p>
    <w:p>
      <w:pPr>
        <w:pStyle w:val="2"/>
        <w:ind w:left="0" w:leftChars="0" w:firstLine="0" w:firstLineChars="0"/>
        <w:jc w:val="right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-3175</wp:posOffset>
                </wp:positionV>
                <wp:extent cx="5608320" cy="15240"/>
                <wp:effectExtent l="0" t="6350" r="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08320" cy="1524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.4pt;margin-top:-0.25pt;height:1.2pt;width:441.6pt;z-index:251666432;mso-width-relative:page;mso-height-relative:page;" filled="f" stroked="t" coordsize="21600,21600" o:gfxdata="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urn&#10;W9UAAAAFAQAADwAAAAAAAAABACAAAAAiAAAAZHJzL2Rvd25yZXYueG1sUEsBAhQAFAAAAAgAh07i&#10;QI/n5JDsAQAArwMAAA4AAAAAAAAAAQAgAAAAJAEAAGRycy9lMm9Eb2MueG1sUEsFBgAAAAAGAAYA&#10;WQEAAIIFAAAAAA==&#10;">
                <v:path arrowok="t"/>
                <v:fill on="f" focussize="0,0"/>
                <v:stroke weight="1pt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（共印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6</w:t>
      </w:r>
      <w:bookmarkStart w:id="2" w:name="_GoBack"/>
      <w:bookmarkEnd w:id="2"/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</w:rPr>
        <w:t>份）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 </w:t>
      </w:r>
    </w:p>
    <w:sectPr>
      <w:footerReference r:id="rId3" w:type="default"/>
      <w:pgSz w:w="12240" w:h="15840"/>
      <w:pgMar w:top="1440" w:right="1800" w:bottom="1247" w:left="1800" w:header="720" w:footer="720" w:gutter="0"/>
      <w:pgNumType w:fmt="numberInDash" w:start="8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font00000000276c8d88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CFC0FA"/>
    <w:multiLevelType w:val="singleLevel"/>
    <w:tmpl w:val="B0CFC0F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hOTQ4N2ViMmJlNTE2M2I0OTlhMjg4YzYwYmViYmMifQ=="/>
  </w:docVars>
  <w:rsids>
    <w:rsidRoot w:val="00000000"/>
    <w:rsid w:val="19BA6787"/>
    <w:rsid w:val="289F034C"/>
    <w:rsid w:val="607E1BB3"/>
    <w:rsid w:val="68C575A4"/>
    <w:rsid w:val="7B2E0258"/>
    <w:rsid w:val="7B816EFD"/>
    <w:rsid w:val="FB37F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540" w:lineRule="exact"/>
      <w:ind w:firstLine="1040" w:firstLineChars="200"/>
      <w:jc w:val="left"/>
      <w:outlineLvl w:val="1"/>
    </w:pPr>
    <w:rPr>
      <w:rFonts w:ascii="Arial" w:hAnsi="Arial" w:eastAsia="楷体"/>
      <w:b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after="0" w:afterLines="0"/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ind w:firstLine="800" w:firstLineChars="250"/>
    </w:pPr>
    <w:rPr>
      <w:rFonts w:ascii="仿宋_GB2312" w:hAnsi="仿宋" w:eastAsia="仿宋_GB2312"/>
      <w:sz w:val="32"/>
    </w:rPr>
  </w:style>
  <w:style w:type="paragraph" w:styleId="4">
    <w:name w:val="Plain Text"/>
    <w:basedOn w:val="1"/>
    <w:next w:val="1"/>
    <w:qFormat/>
    <w:uiPriority w:val="0"/>
    <w:rPr>
      <w:rFonts w:ascii="宋体" w:hAnsi="Courier New" w:eastAsia="宋体"/>
      <w:sz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0">
    <w:name w:val="Plain Text_7d143775-c1ae-4502-a044-621787f0303f"/>
    <w:basedOn w:val="1"/>
    <w:qFormat/>
    <w:uiPriority w:val="0"/>
    <w:rPr>
      <w:rFonts w:ascii="宋体" w:hAnsi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3657</Words>
  <Characters>3724</Characters>
  <Lines>0</Lines>
  <Paragraphs>0</Paragraphs>
  <TotalTime>1</TotalTime>
  <ScaleCrop>false</ScaleCrop>
  <LinksUpToDate>false</LinksUpToDate>
  <CharactersWithSpaces>3895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</dc:creator>
  <cp:lastModifiedBy>LENOVO</cp:lastModifiedBy>
  <cp:lastPrinted>2023-12-28T03:34:00Z</cp:lastPrinted>
  <dcterms:modified xsi:type="dcterms:W3CDTF">2023-12-28T04:56:41Z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193ADF05A1A1456DAC76FD66B727D614_12</vt:lpwstr>
  </property>
</Properties>
</file>