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玉湖镇人民政府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2019年度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2019年，玉湖镇人民政府深入贯彻落实党的十九大和十九届四中全会精神，按照新修订的《中华人民共和国政府信息公开条例》（2019年4月修订版，以下简称《条例》）规定和省、市、区的部署和文件要求，扎实做好玉湖镇人民政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（一）加强组织领导，健全工作机制。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我镇始终把做好政务信息公开工作列入单位工作议事日程。同时，根据人员变动，及时对镇政府信息公开工作领导小组人员进行调整充实，确保政府信息公开工作顺利开展。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rFonts w:hint="eastAsia" w:ascii="仿宋" w:hAnsi="仿宋" w:eastAsia="仿宋_GB2312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（二）建立规章制度，规范信息公开。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我镇注重加强和完善政府信息公开制度建设工作，根据《中华人民共和国政府信息公开条例》要求，结合我镇工作实际，制定了相关制度并认真执行，严格遵循政府信息公开基本原则开展信息公开工作。</w:t>
      </w:r>
      <w:r>
        <w:rPr>
          <w:rFonts w:hint="eastAsia" w:ascii="仿宋_GB2312" w:eastAsia="仿宋_GB2312"/>
          <w:sz w:val="32"/>
          <w:szCs w:val="32"/>
        </w:rPr>
        <w:t>2019年度</w:t>
      </w:r>
      <w:r>
        <w:rPr>
          <w:rFonts w:hint="eastAsia" w:ascii="仿宋_GB2312" w:eastAsia="仿宋_GB2312"/>
          <w:sz w:val="32"/>
          <w:szCs w:val="32"/>
          <w:lang w:eastAsia="zh-CN"/>
        </w:rPr>
        <w:t>玉湖镇</w:t>
      </w:r>
      <w:r>
        <w:rPr>
          <w:rFonts w:hint="eastAsia" w:ascii="仿宋_GB2312" w:eastAsia="仿宋_GB2312"/>
          <w:sz w:val="32"/>
          <w:szCs w:val="32"/>
        </w:rPr>
        <w:t>通过区政府网站政府信息公开目录系统主动公开政府信息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 w:firstLine="643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（三）健全配套措施，强化工作督查。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提高依法公开水平，我镇在推进政府信息公开工作的过程中，严格依法管理，加强督促检查，强化监督，使政府信息公开工作制度化和规范化。进一步强化责任，严肃纪律，保证政府信息公开工作的连续性。积极贯彻实施信息督查检查制度，严格把握公开程序，边学习、边修改、边完善，广泛接受服务对象的监督，切实做好政府信息公开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tbl>
      <w:tblPr>
        <w:tblStyle w:val="6"/>
        <w:tblW w:w="9187" w:type="dxa"/>
        <w:jc w:val="center"/>
        <w:tblInd w:w="1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2265"/>
        <w:gridCol w:w="1666"/>
        <w:gridCol w:w="22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本年新制作数量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129.3万元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tbl>
      <w:tblPr>
        <w:tblStyle w:val="6"/>
        <w:tblW w:w="10356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</w:rPr>
      </w:pP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rFonts w:hint="eastAsia" w:ascii="仿宋" w:hAnsi="仿宋" w:eastAsia="宋体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2019年，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玉湖镇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政府信息公开工作在推进过程仍存在一些问题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：一是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公开内容需要不够深化，政府机关主动公开的政府信息与公众的需求还存在一些距离；二是宣传和引导工作不到位，不少社会公众对政府信息公开尚不熟悉的问题；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56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针对存在问题和不足，2020年</w:t>
      </w:r>
      <w:r>
        <w:rPr>
          <w:rFonts w:hint="eastAsia" w:ascii="仿宋_GB2312" w:eastAsia="仿宋_GB2312"/>
          <w:sz w:val="32"/>
          <w:szCs w:val="32"/>
          <w:lang w:eastAsia="zh-CN"/>
        </w:rPr>
        <w:t>玉湖镇</w:t>
      </w:r>
      <w:r>
        <w:rPr>
          <w:rFonts w:hint="eastAsia" w:ascii="仿宋_GB2312" w:eastAsia="仿宋_GB2312"/>
          <w:sz w:val="32"/>
          <w:szCs w:val="32"/>
        </w:rPr>
        <w:t>将认真按照《条例》规定，认真贯彻落实上级的有关文件精神，采取有效措施，扎实推进</w:t>
      </w:r>
      <w:r>
        <w:rPr>
          <w:rFonts w:hint="eastAsia" w:ascii="仿宋_GB2312" w:eastAsia="仿宋_GB2312"/>
          <w:sz w:val="32"/>
          <w:szCs w:val="32"/>
          <w:lang w:eastAsia="zh-CN"/>
        </w:rPr>
        <w:t>玉湖镇</w:t>
      </w:r>
      <w:r>
        <w:rPr>
          <w:rFonts w:hint="eastAsia" w:ascii="仿宋_GB2312" w:eastAsia="仿宋_GB2312"/>
          <w:sz w:val="32"/>
          <w:szCs w:val="32"/>
        </w:rPr>
        <w:t>的政府信息公开工作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充实公开内容，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探索建立深化政府信息公开内容的工作制度，确保“以公开为原则，以不公开为例外”原则切实落到实处；二是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拓展公开形式，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重点做好加强网上政府信息公开工作，以最大范围主动公开政府信息；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三是加大普及宣传，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充分利用政务、村务公开栏，做到政府信息公开工作家喻户晓；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四是建立健全政府信息公开各项规章制度，进一步规范政府信息公开工作。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10342"/>
    <w:multiLevelType w:val="singleLevel"/>
    <w:tmpl w:val="BF5103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A10575"/>
    <w:multiLevelType w:val="singleLevel"/>
    <w:tmpl w:val="EBA1057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A720E"/>
    <w:rsid w:val="024602C3"/>
    <w:rsid w:val="14113186"/>
    <w:rsid w:val="158F5045"/>
    <w:rsid w:val="18ED6AA1"/>
    <w:rsid w:val="2234345E"/>
    <w:rsid w:val="239D72C4"/>
    <w:rsid w:val="26060061"/>
    <w:rsid w:val="31EA1AF0"/>
    <w:rsid w:val="4CD77404"/>
    <w:rsid w:val="52B34C12"/>
    <w:rsid w:val="5360057F"/>
    <w:rsid w:val="590C77AE"/>
    <w:rsid w:val="645E07D4"/>
    <w:rsid w:val="663A720E"/>
    <w:rsid w:val="6A716016"/>
    <w:rsid w:val="6EB10087"/>
    <w:rsid w:val="74266169"/>
    <w:rsid w:val="75461AC2"/>
    <w:rsid w:val="780941B3"/>
    <w:rsid w:val="7CC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2020-01-02T08:35:00Z</dcterms:created>
  <dc:creator>admin</dc:creator>
  <cp:lastModifiedBy>Administrator</cp:lastModifiedBy>
  <cp:lastPrinted>2020-01-13T09:27:00Z</cp:lastPrinted>
  <dcterms:modified xsi:type="dcterms:W3CDTF">2024-03-13T03:11:56Z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