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附件2</w:t>
      </w:r>
    </w:p>
    <w:p>
      <w:pPr>
        <w:pStyle w:val="2"/>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评分表</w:t>
      </w:r>
    </w:p>
    <w:p>
      <w:pPr>
        <w:pStyle w:val="2"/>
        <w:rPr>
          <w:rFonts w:hint="default"/>
          <w:lang w:val="en-US" w:eastAsia="zh-CN"/>
        </w:rPr>
      </w:pPr>
    </w:p>
    <w:tbl>
      <w:tblPr>
        <w:tblStyle w:val="6"/>
        <w:tblW w:w="9327" w:type="dxa"/>
        <w:jc w:val="center"/>
        <w:tblInd w:w="-8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0"/>
        <w:gridCol w:w="1500"/>
        <w:gridCol w:w="5326"/>
        <w:gridCol w:w="133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 w:type="dxa"/>
          <w:trHeight w:val="668" w:hRule="atLeast"/>
          <w:jc w:val="center"/>
        </w:trPr>
        <w:tc>
          <w:tcPr>
            <w:tcW w:w="1170" w:type="dxa"/>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评审因素</w:t>
            </w:r>
          </w:p>
        </w:tc>
        <w:tc>
          <w:tcPr>
            <w:tcW w:w="8156" w:type="dxa"/>
            <w:gridSpan w:val="3"/>
            <w:shd w:val="clear" w:color="auto" w:fill="auto"/>
            <w:vAlign w:val="center"/>
          </w:tcPr>
          <w:p>
            <w:pPr>
              <w:keepNext w:val="0"/>
              <w:keepLines w:val="0"/>
              <w:pageBreakBefore w:val="0"/>
              <w:widowControl w:val="0"/>
              <w:kinsoku/>
              <w:wordWrap/>
              <w:overflowPunct/>
              <w:topLinePunct w:val="0"/>
              <w:bidi w:val="0"/>
              <w:spacing w:line="36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 w:type="dxa"/>
          <w:trHeight w:val="780" w:hRule="atLeast"/>
          <w:jc w:val="center"/>
        </w:trPr>
        <w:tc>
          <w:tcPr>
            <w:tcW w:w="117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b/>
                <w:bCs/>
                <w:strike w:val="0"/>
                <w:dstrike w:val="0"/>
                <w:color w:val="auto"/>
                <w:sz w:val="21"/>
                <w:szCs w:val="21"/>
                <w:highlight w:val="none"/>
                <w:u w:val="none"/>
                <w:lang w:val="en-US" w:eastAsia="zh-CN"/>
              </w:rPr>
            </w:pPr>
            <w:r>
              <w:rPr>
                <w:rFonts w:hint="eastAsia" w:ascii="仿宋" w:hAnsi="仿宋" w:eastAsia="仿宋" w:cs="仿宋"/>
                <w:b/>
                <w:bCs/>
                <w:strike w:val="0"/>
                <w:dstrike w:val="0"/>
                <w:color w:val="auto"/>
                <w:sz w:val="21"/>
                <w:szCs w:val="21"/>
                <w:highlight w:val="none"/>
                <w:u w:val="none"/>
                <w:lang w:val="en-US" w:eastAsia="zh-CN"/>
              </w:rPr>
              <w:t>分值构成</w:t>
            </w:r>
          </w:p>
        </w:tc>
        <w:tc>
          <w:tcPr>
            <w:tcW w:w="6826"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bCs/>
                <w:strike w:val="0"/>
                <w:dstrike w:val="0"/>
                <w:color w:val="auto"/>
                <w:sz w:val="21"/>
                <w:szCs w:val="21"/>
                <w:highlight w:val="none"/>
                <w:u w:val="none"/>
                <w:lang w:val="en-US" w:eastAsia="zh-CN"/>
              </w:rPr>
            </w:pPr>
            <w:r>
              <w:rPr>
                <w:rFonts w:hint="eastAsia" w:ascii="仿宋" w:hAnsi="仿宋" w:eastAsia="仿宋" w:cs="仿宋"/>
                <w:b/>
                <w:bCs/>
                <w:strike w:val="0"/>
                <w:dstrike w:val="0"/>
                <w:color w:val="auto"/>
                <w:sz w:val="21"/>
                <w:szCs w:val="21"/>
                <w:highlight w:val="none"/>
                <w:u w:val="none"/>
                <w:lang w:val="en-US" w:eastAsia="zh-CN"/>
              </w:rPr>
              <w:t>商务技术部分70.0分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b/>
                <w:bCs/>
                <w:strike w:val="0"/>
                <w:dstrike w:val="0"/>
                <w:color w:val="auto"/>
                <w:sz w:val="21"/>
                <w:szCs w:val="21"/>
                <w:highlight w:val="none"/>
                <w:u w:val="none"/>
                <w:lang w:val="en-US" w:eastAsia="zh-CN"/>
              </w:rPr>
            </w:pPr>
            <w:r>
              <w:rPr>
                <w:rFonts w:hint="eastAsia" w:ascii="仿宋" w:hAnsi="仿宋" w:eastAsia="仿宋" w:cs="仿宋"/>
                <w:b/>
                <w:bCs/>
                <w:strike w:val="0"/>
                <w:dstrike w:val="0"/>
                <w:color w:val="auto"/>
                <w:sz w:val="21"/>
                <w:szCs w:val="21"/>
                <w:highlight w:val="none"/>
                <w:u w:val="none"/>
                <w:lang w:val="en-US" w:eastAsia="zh-CN"/>
              </w:rPr>
              <w:t>报价得分30.0分</w:t>
            </w:r>
          </w:p>
        </w:tc>
        <w:tc>
          <w:tcPr>
            <w:tcW w:w="133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b/>
                <w:bCs/>
                <w:strike w:val="0"/>
                <w:dstrike w:val="0"/>
                <w:color w:val="auto"/>
                <w:sz w:val="21"/>
                <w:szCs w:val="21"/>
                <w:highlight w:val="none"/>
                <w:u w:val="none"/>
                <w:lang w:val="en-US" w:eastAsia="zh-CN"/>
              </w:rPr>
            </w:pPr>
            <w:r>
              <w:rPr>
                <w:rFonts w:hint="eastAsia" w:ascii="仿宋" w:hAnsi="仿宋" w:eastAsia="仿宋" w:cs="仿宋"/>
                <w:b/>
                <w:bCs/>
                <w:strike w:val="0"/>
                <w:dstrike w:val="0"/>
                <w:color w:val="auto"/>
                <w:sz w:val="21"/>
                <w:szCs w:val="21"/>
                <w:highlight w:val="none"/>
                <w:u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93" w:hRule="atLeast"/>
          <w:jc w:val="center"/>
        </w:trPr>
        <w:tc>
          <w:tcPr>
            <w:tcW w:w="1170" w:type="dxa"/>
            <w:vMerge w:val="restart"/>
            <w:textDirection w:val="tbLrV"/>
            <w:vAlign w:val="center"/>
          </w:tcPr>
          <w:p>
            <w:pPr>
              <w:keepNext w:val="0"/>
              <w:keepLines w:val="0"/>
              <w:pageBreakBefore w:val="0"/>
              <w:widowControl w:val="0"/>
              <w:kinsoku/>
              <w:wordWrap/>
              <w:overflowPunct/>
              <w:topLinePunct w:val="0"/>
              <w:bidi w:val="0"/>
              <w:spacing w:line="360" w:lineRule="exact"/>
              <w:ind w:left="113" w:right="113"/>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技术部分</w:t>
            </w: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产品评价（30.0分）</w:t>
            </w:r>
          </w:p>
        </w:tc>
        <w:tc>
          <w:tcPr>
            <w:tcW w:w="532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u w:val="none"/>
                <w:lang w:val="en-US" w:eastAsia="zh-CN"/>
              </w:rPr>
              <w:t>、农药残留检测卡通过农业部权威检验检测部门出具的检验报告，</w:t>
            </w:r>
            <w:r>
              <w:rPr>
                <w:rFonts w:hint="eastAsia" w:ascii="仿宋" w:hAnsi="仿宋" w:eastAsia="仿宋" w:cs="仿宋"/>
                <w:strike w:val="0"/>
                <w:dstrike w:val="0"/>
                <w:color w:val="auto"/>
                <w:sz w:val="21"/>
                <w:szCs w:val="21"/>
                <w:highlight w:val="none"/>
                <w:u w:val="none"/>
                <w:lang w:val="en-US" w:eastAsia="zh-CN"/>
              </w:rPr>
              <w:t>提供证明文件</w:t>
            </w:r>
            <w:r>
              <w:rPr>
                <w:rFonts w:hint="eastAsia" w:ascii="仿宋" w:hAnsi="仿宋" w:eastAsia="仿宋" w:cs="仿宋"/>
                <w:color w:val="auto"/>
                <w:sz w:val="21"/>
                <w:szCs w:val="21"/>
                <w:u w:val="none"/>
                <w:lang w:val="en-US" w:eastAsia="zh-CN"/>
              </w:rPr>
              <w:t>得4分，未提供不得分。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2、农残胶体快速检测卡通过农业农村部评价，每提供一个证明文件得2分，未提供不得分。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3、农残胶体快速检测卡通过广东省农业科学院农业质量标准与监测技术研究所的农兽药残留快速检测产品评价报告，每提供一个证明文件得2分，未提供不得分。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4"/>
                <w:szCs w:val="24"/>
                <w:highlight w:val="none"/>
                <w:u w:val="none"/>
                <w:lang w:val="en-US" w:eastAsia="zh-CN"/>
              </w:rPr>
              <w:t>注：需按照要求提供相关证明文件。未提供或未按要求提供的则按响应负偏离进行扣分，直至扣完为止。</w:t>
            </w:r>
          </w:p>
        </w:tc>
        <w:tc>
          <w:tcPr>
            <w:tcW w:w="1331"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71" w:hRule="atLeast"/>
          <w:jc w:val="center"/>
        </w:trPr>
        <w:tc>
          <w:tcPr>
            <w:tcW w:w="1170" w:type="dxa"/>
            <w:vMerge w:val="continue"/>
            <w:vAlign w:val="center"/>
          </w:tcPr>
          <w:p>
            <w:pPr>
              <w:keepNext w:val="0"/>
              <w:keepLines w:val="0"/>
              <w:pageBreakBefore w:val="0"/>
              <w:widowControl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rPr>
            </w:pP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实施方案</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kern w:val="2"/>
                <w:sz w:val="24"/>
                <w:szCs w:val="24"/>
                <w:highlight w:val="none"/>
                <w:lang w:val="en-US" w:eastAsia="zh-CN" w:bidi="ar"/>
              </w:rPr>
              <w:t>（8.0分）</w:t>
            </w:r>
          </w:p>
        </w:tc>
        <w:tc>
          <w:tcPr>
            <w:tcW w:w="532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根据各投标人针对本项目提供的总体实施方案（包括货物采购、供货、项目验收方案等）的完整性、可行性、针对性等情况进行评审：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1.方案完整、可行，能完全满足采购需求及项目实施要求，得8分； </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2.方案基本具体、可行，能基本满足采购需求及项目实施要求，得6分；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 xml:space="preserve">3.方案内容简单，对采购需求的响应一般，得4分； </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4.不提供不得分。</w:t>
            </w:r>
          </w:p>
        </w:tc>
        <w:tc>
          <w:tcPr>
            <w:tcW w:w="1331"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7" w:hRule="atLeast"/>
          <w:jc w:val="center"/>
        </w:trPr>
        <w:tc>
          <w:tcPr>
            <w:tcW w:w="1170" w:type="dxa"/>
            <w:vMerge w:val="continue"/>
            <w:vAlign w:val="center"/>
          </w:tcPr>
          <w:p>
            <w:pPr>
              <w:keepNext w:val="0"/>
              <w:keepLines w:val="0"/>
              <w:pageBreakBefore w:val="0"/>
              <w:widowControl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rPr>
            </w:pP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培训方案</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（7.0分）</w:t>
            </w:r>
          </w:p>
        </w:tc>
        <w:tc>
          <w:tcPr>
            <w:tcW w:w="5326" w:type="dxa"/>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kern w:val="2"/>
                <w:sz w:val="24"/>
                <w:szCs w:val="24"/>
                <w:highlight w:val="none"/>
                <w:lang w:val="en-US" w:eastAsia="zh-CN" w:bidi="ar"/>
              </w:rPr>
              <w:t>各</w:t>
            </w:r>
            <w:r>
              <w:rPr>
                <w:rFonts w:hint="eastAsia" w:ascii="仿宋" w:hAnsi="仿宋" w:eastAsia="仿宋" w:cs="仿宋"/>
                <w:color w:val="auto"/>
                <w:sz w:val="24"/>
                <w:szCs w:val="24"/>
                <w:highlight w:val="none"/>
              </w:rPr>
              <w:t>投标人</w:t>
            </w:r>
            <w:r>
              <w:rPr>
                <w:rFonts w:hint="eastAsia" w:ascii="仿宋" w:hAnsi="仿宋" w:eastAsia="仿宋" w:cs="仿宋"/>
                <w:color w:val="auto"/>
                <w:kern w:val="2"/>
                <w:sz w:val="24"/>
                <w:szCs w:val="24"/>
                <w:highlight w:val="none"/>
                <w:lang w:val="en-US" w:eastAsia="zh-CN" w:bidi="ar"/>
              </w:rPr>
              <w:t>针对本项目提供的</w:t>
            </w:r>
            <w:r>
              <w:rPr>
                <w:rFonts w:hint="eastAsia" w:ascii="仿宋" w:hAnsi="仿宋" w:eastAsia="仿宋" w:cs="仿宋"/>
                <w:color w:val="auto"/>
                <w:sz w:val="24"/>
                <w:szCs w:val="24"/>
                <w:highlight w:val="none"/>
              </w:rPr>
              <w:t>培训方案（包括培训目标、方法、方式和培训措施等）进行评审：</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1.培训计划完善，条理清晰分明，具体全面，操作性强，得7分；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2.培训计划简单，条理基本清晰分明，操作性简单，得5分；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right="0" w:firstLine="0" w:firstLineChars="0"/>
              <w:jc w:val="both"/>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bidi="ar"/>
              </w:rPr>
              <w:t>3.培训计划不全面，条理不分明或操作性差，得3分；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4.不提供不得分。</w:t>
            </w:r>
          </w:p>
        </w:tc>
        <w:tc>
          <w:tcPr>
            <w:tcW w:w="1331" w:type="dxa"/>
            <w:gridSpan w:val="2"/>
            <w:vAlign w:val="center"/>
          </w:tcPr>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jc w:val="center"/>
        </w:trPr>
        <w:tc>
          <w:tcPr>
            <w:tcW w:w="1170" w:type="dxa"/>
            <w:vMerge w:val="continue"/>
            <w:vAlign w:val="center"/>
          </w:tcPr>
          <w:p>
            <w:pPr>
              <w:keepNext w:val="0"/>
              <w:keepLines w:val="0"/>
              <w:pageBreakBefore w:val="0"/>
              <w:widowControl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rPr>
            </w:pP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bCs/>
                <w:color w:val="auto"/>
                <w:kern w:val="2"/>
                <w:sz w:val="24"/>
                <w:szCs w:val="24"/>
                <w:highlight w:val="none"/>
                <w:lang w:val="en-US" w:eastAsia="zh-CN" w:bidi="ar"/>
              </w:rPr>
            </w:pPr>
            <w:r>
              <w:rPr>
                <w:rFonts w:hint="eastAsia" w:ascii="仿宋" w:hAnsi="仿宋" w:eastAsia="仿宋" w:cs="仿宋"/>
                <w:bCs/>
                <w:color w:val="auto"/>
                <w:kern w:val="2"/>
                <w:sz w:val="24"/>
                <w:szCs w:val="24"/>
                <w:highlight w:val="none"/>
                <w:lang w:val="en-US" w:eastAsia="zh-CN" w:bidi="ar"/>
              </w:rPr>
              <w:t>售后服务</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（10.0分）</w:t>
            </w:r>
          </w:p>
        </w:tc>
        <w:tc>
          <w:tcPr>
            <w:tcW w:w="5326" w:type="dxa"/>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0" w:firstLineChars="0"/>
              <w:jc w:val="both"/>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根据</w:t>
            </w:r>
            <w:r>
              <w:rPr>
                <w:rFonts w:hint="eastAsia" w:ascii="仿宋" w:hAnsi="仿宋" w:eastAsia="仿宋" w:cs="仿宋"/>
                <w:color w:val="auto"/>
                <w:kern w:val="2"/>
                <w:sz w:val="24"/>
                <w:szCs w:val="24"/>
                <w:highlight w:val="none"/>
                <w:lang w:val="en-US" w:eastAsia="zh-CN" w:bidi="ar"/>
              </w:rPr>
              <w:t>投标人</w:t>
            </w:r>
            <w:r>
              <w:rPr>
                <w:rFonts w:hint="eastAsia" w:ascii="仿宋" w:hAnsi="仿宋" w:eastAsia="仿宋" w:cs="仿宋"/>
                <w:bCs/>
                <w:color w:val="auto"/>
                <w:kern w:val="2"/>
                <w:sz w:val="24"/>
                <w:szCs w:val="24"/>
                <w:highlight w:val="none"/>
                <w:lang w:val="en-US" w:eastAsia="zh-CN" w:bidi="ar"/>
              </w:rPr>
              <w:t>承诺的售后服务整体方案</w:t>
            </w:r>
            <w:r>
              <w:rPr>
                <w:rFonts w:hint="eastAsia" w:ascii="仿宋" w:hAnsi="仿宋" w:eastAsia="仿宋" w:cs="仿宋"/>
                <w:color w:val="auto"/>
                <w:kern w:val="2"/>
                <w:sz w:val="24"/>
                <w:szCs w:val="24"/>
                <w:highlight w:val="none"/>
                <w:lang w:val="en-US" w:eastAsia="zh-CN" w:bidi="ar"/>
              </w:rPr>
              <w:t>（包括整体售后服务计划、质保期限、服务响应时间、服务承诺等）</w:t>
            </w:r>
            <w:r>
              <w:rPr>
                <w:rFonts w:hint="eastAsia" w:ascii="仿宋" w:hAnsi="仿宋" w:eastAsia="仿宋" w:cs="仿宋"/>
                <w:bCs/>
                <w:color w:val="auto"/>
                <w:kern w:val="2"/>
                <w:sz w:val="24"/>
                <w:szCs w:val="24"/>
                <w:highlight w:val="none"/>
                <w:lang w:val="en-US" w:eastAsia="zh-CN" w:bidi="ar"/>
              </w:rPr>
              <w:t>进行</w:t>
            </w:r>
            <w:r>
              <w:rPr>
                <w:rFonts w:hint="eastAsia" w:ascii="仿宋" w:hAnsi="仿宋" w:eastAsia="仿宋" w:cs="仿宋"/>
                <w:color w:val="auto"/>
                <w:kern w:val="2"/>
                <w:sz w:val="24"/>
                <w:szCs w:val="24"/>
                <w:highlight w:val="none"/>
                <w:lang w:val="en-US" w:eastAsia="zh-CN" w:bidi="ar"/>
              </w:rPr>
              <w:t>评审：</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0" w:firstLineChars="0"/>
              <w:jc w:val="both"/>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1</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bCs/>
                <w:color w:val="auto"/>
                <w:kern w:val="2"/>
                <w:sz w:val="24"/>
                <w:szCs w:val="24"/>
                <w:highlight w:val="none"/>
                <w:lang w:val="en-US" w:eastAsia="zh-CN" w:bidi="ar"/>
              </w:rPr>
              <w:t>售后服务计划详细、针对性强、可操作性高，得10分；</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0" w:firstLineChars="0"/>
              <w:jc w:val="both"/>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2</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bCs/>
                <w:color w:val="auto"/>
                <w:kern w:val="2"/>
                <w:sz w:val="24"/>
                <w:szCs w:val="24"/>
                <w:highlight w:val="none"/>
                <w:lang w:val="en-US" w:eastAsia="zh-CN" w:bidi="ar"/>
              </w:rPr>
              <w:t>售后服务计划较详细、针对性及可操作性较好，得6分；</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right="0" w:firstLine="0" w:firstLineChars="0"/>
              <w:jc w:val="both"/>
              <w:textAlignment w:val="auto"/>
              <w:rPr>
                <w:rFonts w:hint="eastAsia" w:ascii="仿宋" w:hAnsi="仿宋" w:eastAsia="仿宋" w:cs="仿宋"/>
                <w:bCs/>
                <w:color w:val="auto"/>
                <w:kern w:val="2"/>
                <w:sz w:val="24"/>
                <w:szCs w:val="24"/>
                <w:highlight w:val="none"/>
              </w:rPr>
            </w:pPr>
            <w:r>
              <w:rPr>
                <w:rFonts w:hint="eastAsia" w:ascii="仿宋" w:hAnsi="仿宋" w:eastAsia="仿宋" w:cs="仿宋"/>
                <w:bCs/>
                <w:color w:val="auto"/>
                <w:kern w:val="2"/>
                <w:sz w:val="24"/>
                <w:szCs w:val="24"/>
                <w:highlight w:val="none"/>
                <w:lang w:val="en-US" w:eastAsia="zh-CN" w:bidi="ar"/>
              </w:rPr>
              <w:t>3</w:t>
            </w:r>
            <w:r>
              <w:rPr>
                <w:rFonts w:hint="eastAsia" w:ascii="仿宋" w:hAnsi="仿宋" w:eastAsia="仿宋" w:cs="仿宋"/>
                <w:color w:val="auto"/>
                <w:kern w:val="2"/>
                <w:sz w:val="24"/>
                <w:szCs w:val="24"/>
                <w:highlight w:val="none"/>
                <w:lang w:val="en-US" w:eastAsia="zh-CN" w:bidi="ar"/>
              </w:rPr>
              <w:t>.</w:t>
            </w:r>
            <w:r>
              <w:rPr>
                <w:rFonts w:hint="eastAsia" w:ascii="仿宋" w:hAnsi="仿宋" w:eastAsia="仿宋" w:cs="仿宋"/>
                <w:bCs/>
                <w:color w:val="auto"/>
                <w:kern w:val="2"/>
                <w:sz w:val="24"/>
                <w:szCs w:val="24"/>
                <w:highlight w:val="none"/>
                <w:lang w:val="en-US" w:eastAsia="zh-CN" w:bidi="ar"/>
              </w:rPr>
              <w:t>售后服务计划基本完善、没有针对性及可操作性，得</w:t>
            </w:r>
            <w:r>
              <w:rPr>
                <w:rFonts w:hint="eastAsia" w:ascii="仿宋" w:hAnsi="仿宋" w:eastAsia="仿宋" w:cs="仿宋"/>
                <w:color w:val="auto"/>
                <w:kern w:val="2"/>
                <w:sz w:val="24"/>
                <w:szCs w:val="24"/>
                <w:highlight w:val="none"/>
                <w:lang w:val="en-US" w:eastAsia="zh-CN" w:bidi="ar"/>
              </w:rPr>
              <w:t>4</w:t>
            </w:r>
            <w:r>
              <w:rPr>
                <w:rFonts w:hint="eastAsia" w:ascii="仿宋" w:hAnsi="仿宋" w:eastAsia="仿宋" w:cs="仿宋"/>
                <w:bCs/>
                <w:color w:val="auto"/>
                <w:kern w:val="2"/>
                <w:sz w:val="24"/>
                <w:szCs w:val="24"/>
                <w:highlight w:val="none"/>
                <w:lang w:val="en-US" w:eastAsia="zh-CN" w:bidi="ar"/>
              </w:rPr>
              <w:t>分；</w:t>
            </w:r>
          </w:p>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4.不提供不得分。</w:t>
            </w:r>
          </w:p>
        </w:tc>
        <w:tc>
          <w:tcPr>
            <w:tcW w:w="1331" w:type="dxa"/>
            <w:gridSpan w:val="2"/>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jc w:val="center"/>
        </w:trPr>
        <w:tc>
          <w:tcPr>
            <w:tcW w:w="1170" w:type="dxa"/>
            <w:vMerge w:val="continue"/>
            <w:vAlign w:val="center"/>
          </w:tcPr>
          <w:p>
            <w:pPr>
              <w:keepNext w:val="0"/>
              <w:keepLines w:val="0"/>
              <w:pageBreakBefore w:val="0"/>
              <w:widowControl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rPr>
            </w:pP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质量保障措施</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（10.0分）</w:t>
            </w:r>
          </w:p>
        </w:tc>
        <w:tc>
          <w:tcPr>
            <w:tcW w:w="532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根据各投标人针对本项目提供的质量保障措施方案（包括质量保证、质量控制、质量管理组织等)进行评审：</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1.质量保障措施详细、具体、可行性好，得10分；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2.质量保障措施较详细、具体，可行性一般，得6分；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3.质量保障措施不够详细、可行性差，得4分；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
              </w:rPr>
              <w:t>4.不提供不得分。</w:t>
            </w:r>
          </w:p>
        </w:tc>
        <w:tc>
          <w:tcPr>
            <w:tcW w:w="1331"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7" w:hRule="atLeast"/>
          <w:jc w:val="center"/>
        </w:trPr>
        <w:tc>
          <w:tcPr>
            <w:tcW w:w="1170" w:type="dxa"/>
            <w:vMerge w:val="continue"/>
            <w:vAlign w:val="center"/>
          </w:tcPr>
          <w:p>
            <w:pPr>
              <w:keepNext w:val="0"/>
              <w:keepLines w:val="0"/>
              <w:pageBreakBefore w:val="0"/>
              <w:widowControl w:val="0"/>
              <w:kinsoku/>
              <w:wordWrap/>
              <w:overflowPunct/>
              <w:topLinePunct w:val="0"/>
              <w:bidi w:val="0"/>
              <w:spacing w:line="360" w:lineRule="exact"/>
              <w:jc w:val="both"/>
              <w:textAlignment w:val="auto"/>
              <w:rPr>
                <w:rFonts w:hint="eastAsia" w:ascii="仿宋" w:hAnsi="仿宋" w:eastAsia="仿宋" w:cs="仿宋"/>
                <w:color w:val="auto"/>
                <w:sz w:val="24"/>
                <w:szCs w:val="24"/>
                <w:highlight w:val="none"/>
              </w:rPr>
            </w:pP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同类项目经验</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（5.0分）</w:t>
            </w:r>
          </w:p>
        </w:tc>
        <w:tc>
          <w:tcPr>
            <w:tcW w:w="532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根据</w:t>
            </w:r>
            <w:r>
              <w:rPr>
                <w:rFonts w:hint="eastAsia" w:ascii="仿宋" w:hAnsi="仿宋" w:eastAsia="仿宋" w:cs="仿宋"/>
                <w:color w:val="auto"/>
                <w:kern w:val="2"/>
                <w:sz w:val="24"/>
                <w:szCs w:val="24"/>
                <w:highlight w:val="none"/>
                <w:u w:val="none"/>
                <w:lang w:val="en-US" w:eastAsia="zh-CN" w:bidi="ar"/>
              </w:rPr>
              <w:t>投标人提供2022年至投标截止之日同类业绩评审：每提供一份业绩得1分，最高得5</w:t>
            </w:r>
            <w:r>
              <w:rPr>
                <w:rFonts w:hint="eastAsia" w:ascii="仿宋" w:hAnsi="仿宋" w:eastAsia="仿宋" w:cs="仿宋"/>
                <w:color w:val="auto"/>
                <w:kern w:val="2"/>
                <w:sz w:val="24"/>
                <w:szCs w:val="24"/>
                <w:highlight w:val="none"/>
                <w:lang w:val="en-US" w:eastAsia="zh-CN" w:bidi="ar"/>
              </w:rPr>
              <w:t>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注：须提供相关的中标通知书或合同复印件，否则不得分。</w:t>
            </w:r>
          </w:p>
        </w:tc>
        <w:tc>
          <w:tcPr>
            <w:tcW w:w="1331"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1170" w:type="dxa"/>
            <w:textDirection w:val="tbLrV"/>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113" w:leftChars="0" w:right="113" w:rightChars="0" w:firstLine="0" w:firstLineChars="0"/>
              <w:jc w:val="center"/>
              <w:textAlignment w:val="auto"/>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b/>
                <w:bCs/>
                <w:color w:val="auto"/>
                <w:kern w:val="2"/>
                <w:sz w:val="24"/>
                <w:szCs w:val="24"/>
                <w:highlight w:val="none"/>
                <w:u w:val="none"/>
                <w:lang w:val="en-US" w:eastAsia="zh-CN" w:bidi="ar"/>
              </w:rPr>
              <w:t>投标报价</w:t>
            </w:r>
          </w:p>
        </w:tc>
        <w:tc>
          <w:tcPr>
            <w:tcW w:w="1500"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color w:val="auto"/>
                <w:kern w:val="2"/>
                <w:sz w:val="24"/>
                <w:szCs w:val="24"/>
                <w:highlight w:val="none"/>
                <w:u w:val="none"/>
                <w:lang w:val="en-US" w:eastAsia="zh-CN" w:bidi="ar"/>
              </w:rPr>
              <w:t>投标报价得分</w:t>
            </w:r>
          </w:p>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color w:val="auto"/>
                <w:kern w:val="2"/>
                <w:sz w:val="24"/>
                <w:szCs w:val="24"/>
                <w:highlight w:val="none"/>
                <w:u w:val="none"/>
                <w:lang w:val="en-US" w:eastAsia="zh-CN" w:bidi="ar"/>
              </w:rPr>
              <w:t>(30.0分)</w:t>
            </w:r>
          </w:p>
        </w:tc>
        <w:tc>
          <w:tcPr>
            <w:tcW w:w="5326"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color w:val="auto"/>
                <w:kern w:val="2"/>
                <w:sz w:val="24"/>
                <w:szCs w:val="24"/>
                <w:highlight w:val="none"/>
                <w:u w:val="none"/>
                <w:lang w:val="en-US" w:eastAsia="zh-CN" w:bidi="ar"/>
              </w:rPr>
              <w:t>投标报价得分＝（评标基准价/投标报价）×价格分值【注：满足招标文件要求且投标价格最低的投标报价为评标基准价。】最</w:t>
            </w:r>
            <w:bookmarkStart w:id="0" w:name="_GoBack"/>
            <w:bookmarkEnd w:id="0"/>
            <w:r>
              <w:rPr>
                <w:rFonts w:hint="eastAsia" w:ascii="仿宋" w:hAnsi="仿宋" w:eastAsia="仿宋" w:cs="仿宋"/>
                <w:color w:val="auto"/>
                <w:kern w:val="2"/>
                <w:sz w:val="24"/>
                <w:szCs w:val="24"/>
                <w:highlight w:val="none"/>
                <w:u w:val="none"/>
                <w:lang w:val="en-US" w:eastAsia="zh-CN" w:bidi="ar"/>
              </w:rPr>
              <w:t>低报价不是中标的唯一依据。因落实政府采购政策进行价格调整的，以调整后的价格计算评标基准价和投标报价。</w:t>
            </w:r>
          </w:p>
        </w:tc>
        <w:tc>
          <w:tcPr>
            <w:tcW w:w="1331"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FF0000"/>
                <w:kern w:val="2"/>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34" w:hRule="atLeast"/>
          <w:jc w:val="center"/>
        </w:trPr>
        <w:tc>
          <w:tcPr>
            <w:tcW w:w="7996" w:type="dxa"/>
            <w:gridSpan w:val="3"/>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center"/>
              <w:textAlignment w:val="auto"/>
              <w:rPr>
                <w:rFonts w:hint="eastAsia" w:ascii="仿宋" w:hAnsi="仿宋" w:eastAsia="仿宋" w:cs="仿宋"/>
                <w:color w:val="auto"/>
                <w:kern w:val="2"/>
                <w:sz w:val="24"/>
                <w:szCs w:val="24"/>
                <w:highlight w:val="none"/>
                <w:u w:val="none"/>
                <w:lang w:val="en-US" w:eastAsia="zh-CN" w:bidi="ar"/>
              </w:rPr>
            </w:pPr>
            <w:r>
              <w:rPr>
                <w:rFonts w:hint="eastAsia" w:ascii="仿宋" w:hAnsi="仿宋" w:eastAsia="仿宋" w:cs="仿宋"/>
                <w:b/>
                <w:bCs/>
                <w:color w:val="auto"/>
                <w:kern w:val="2"/>
                <w:sz w:val="32"/>
                <w:szCs w:val="32"/>
                <w:highlight w:val="none"/>
                <w:u w:val="none"/>
                <w:lang w:val="en-US" w:eastAsia="zh-CN" w:bidi="ar"/>
              </w:rPr>
              <w:t>合   计</w:t>
            </w:r>
          </w:p>
        </w:tc>
        <w:tc>
          <w:tcPr>
            <w:tcW w:w="1331"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360" w:lineRule="exact"/>
              <w:ind w:left="0" w:leftChars="0" w:right="0" w:rightChars="0" w:firstLine="0" w:firstLineChars="0"/>
              <w:jc w:val="both"/>
              <w:textAlignment w:val="auto"/>
              <w:rPr>
                <w:rFonts w:hint="eastAsia" w:ascii="仿宋" w:hAnsi="仿宋" w:eastAsia="仿宋" w:cs="仿宋"/>
                <w:color w:val="FF0000"/>
                <w:kern w:val="2"/>
                <w:sz w:val="24"/>
                <w:szCs w:val="24"/>
                <w:highlight w:val="none"/>
                <w:u w:val="none"/>
                <w:lang w:val="en-US" w:eastAsia="zh-CN" w:bidi="ar"/>
              </w:rPr>
            </w:pPr>
          </w:p>
        </w:tc>
      </w:tr>
    </w:tbl>
    <w:p>
      <w:pPr>
        <w:keepNext w:val="0"/>
        <w:keepLines w:val="0"/>
        <w:pageBreakBefore w:val="0"/>
        <w:widowControl w:val="0"/>
        <w:kinsoku/>
        <w:wordWrap/>
        <w:overflowPunct/>
        <w:topLinePunct w:val="0"/>
        <w:bidi w:val="0"/>
        <w:spacing w:line="360" w:lineRule="exact"/>
        <w:textAlignment w:val="auto"/>
        <w:rPr>
          <w:rFonts w:hint="default"/>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rFonts w:hint="default" w:ascii="黑体" w:hAnsi="黑体" w:eastAsia="黑体" w:cs="黑体"/>
          <w:i w:val="0"/>
          <w:iCs w:val="0"/>
          <w:caps w:val="0"/>
          <w:color w:val="424242"/>
          <w:spacing w:val="0"/>
          <w:sz w:val="36"/>
          <w:szCs w:val="36"/>
          <w:shd w:val="clear" w:fill="FFFFFF"/>
          <w:lang w:val="en-US" w:eastAsia="zh-CN"/>
        </w:rPr>
      </w:pPr>
      <w:r>
        <w:rPr>
          <w:rFonts w:hint="eastAsia" w:ascii="黑体" w:hAnsi="黑体" w:eastAsia="黑体" w:cs="黑体"/>
          <w:i w:val="0"/>
          <w:iCs w:val="0"/>
          <w:caps w:val="0"/>
          <w:color w:val="424242"/>
          <w:spacing w:val="0"/>
          <w:sz w:val="36"/>
          <w:szCs w:val="36"/>
          <w:shd w:val="clear" w:fill="FFFFFF"/>
          <w:lang w:val="en-US" w:eastAsia="zh-CN"/>
        </w:rPr>
        <w:t>评分人签名：                 时间：</w:t>
      </w:r>
    </w:p>
    <w:p>
      <w:pPr>
        <w:bidi w:val="0"/>
        <w:rPr>
          <w:rFonts w:hint="default"/>
          <w:lang w:val="en-US" w:eastAsia="zh-CN"/>
        </w:rPr>
      </w:pPr>
    </w:p>
    <w:p>
      <w:pPr>
        <w:bidi w:val="0"/>
        <w:rPr>
          <w:rFonts w:hint="default"/>
          <w:lang w:val="en-US" w:eastAsia="zh-CN"/>
        </w:rPr>
      </w:pPr>
    </w:p>
    <w:p>
      <w:pPr>
        <w:bidi w:val="0"/>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E78D9"/>
    <w:rsid w:val="02690FCC"/>
    <w:rsid w:val="27853130"/>
    <w:rsid w:val="5CEE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1"/>
    <w:qFormat/>
    <w:uiPriority w:val="0"/>
    <w:rPr>
      <w:sz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揭东区农业农村局（水利局）</Company>
  <Pages>1</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2024-07-19T08:25:00Z</dcterms:created>
  <dc:creator>Administrator</dc:creator>
  <cp:lastModifiedBy>Administrator</cp:lastModifiedBy>
  <dcterms:modified xsi:type="dcterms:W3CDTF">2024-07-19T08:42:07Z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