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A18A" w14:textId="77777777" w:rsidR="004F2967" w:rsidRDefault="00000000">
      <w:pPr>
        <w:pStyle w:val="a3"/>
        <w:spacing w:before="172" w:line="360" w:lineRule="auto"/>
        <w:ind w:left="2194"/>
        <w:outlineLvl w:val="0"/>
        <w:rPr>
          <w:sz w:val="36"/>
          <w:szCs w:val="36"/>
          <w:lang w:eastAsia="zh-CN"/>
        </w:rPr>
      </w:pPr>
      <w:r>
        <w:rPr>
          <w:rFonts w:hint="eastAsia"/>
          <w:b/>
          <w:bCs/>
          <w:spacing w:val="-1"/>
          <w:sz w:val="36"/>
          <w:szCs w:val="36"/>
          <w:lang w:eastAsia="zh-CN"/>
        </w:rPr>
        <w:t>揭东区新亨镇</w:t>
      </w:r>
      <w:r>
        <w:rPr>
          <w:b/>
          <w:bCs/>
          <w:spacing w:val="-1"/>
          <w:sz w:val="36"/>
          <w:szCs w:val="36"/>
          <w:lang w:eastAsia="zh-CN"/>
        </w:rPr>
        <w:t>村庄规划管理通则</w:t>
      </w:r>
    </w:p>
    <w:p w14:paraId="1956FE75" w14:textId="77777777" w:rsidR="004F2967" w:rsidRDefault="00000000">
      <w:pPr>
        <w:pStyle w:val="a3"/>
        <w:spacing w:line="360" w:lineRule="auto"/>
        <w:ind w:firstLineChars="200" w:firstLine="470"/>
        <w:jc w:val="both"/>
        <w:rPr>
          <w:lang w:eastAsia="zh-CN"/>
        </w:rPr>
      </w:pPr>
      <w:r>
        <w:rPr>
          <w:spacing w:val="-5"/>
          <w:sz w:val="24"/>
          <w:szCs w:val="24"/>
          <w:lang w:eastAsia="zh-CN"/>
        </w:rPr>
        <w:t>本村庄规划管理通则</w:t>
      </w:r>
      <w:r>
        <w:rPr>
          <w:rFonts w:hint="eastAsia"/>
          <w:spacing w:val="-5"/>
          <w:sz w:val="24"/>
          <w:szCs w:val="24"/>
          <w:lang w:eastAsia="zh-CN"/>
        </w:rPr>
        <w:t>适用</w:t>
      </w:r>
      <w:r>
        <w:rPr>
          <w:spacing w:val="-5"/>
          <w:sz w:val="24"/>
          <w:szCs w:val="24"/>
          <w:lang w:eastAsia="zh-CN"/>
        </w:rPr>
        <w:t>于</w:t>
      </w:r>
      <w:r>
        <w:rPr>
          <w:rFonts w:hint="eastAsia"/>
          <w:spacing w:val="-5"/>
          <w:sz w:val="24"/>
          <w:szCs w:val="24"/>
          <w:lang w:eastAsia="zh-CN"/>
        </w:rPr>
        <w:t>新</w:t>
      </w:r>
      <w:proofErr w:type="gramStart"/>
      <w:r>
        <w:rPr>
          <w:rFonts w:hint="eastAsia"/>
          <w:spacing w:val="-5"/>
          <w:sz w:val="24"/>
          <w:szCs w:val="24"/>
          <w:lang w:eastAsia="zh-CN"/>
        </w:rPr>
        <w:t>亨镇</w:t>
      </w:r>
      <w:r>
        <w:rPr>
          <w:spacing w:val="-5"/>
          <w:sz w:val="24"/>
          <w:szCs w:val="24"/>
          <w:lang w:eastAsia="zh-CN"/>
        </w:rPr>
        <w:t>未批复</w:t>
      </w:r>
      <w:proofErr w:type="gramEnd"/>
      <w:r>
        <w:rPr>
          <w:spacing w:val="-5"/>
          <w:sz w:val="24"/>
          <w:szCs w:val="24"/>
          <w:lang w:eastAsia="zh-CN"/>
        </w:rPr>
        <w:t>“多规合一”实用性村庄规划的行政村，</w:t>
      </w:r>
      <w:r>
        <w:rPr>
          <w:rFonts w:hint="eastAsia"/>
          <w:spacing w:val="-5"/>
          <w:sz w:val="24"/>
          <w:szCs w:val="24"/>
          <w:lang w:eastAsia="zh-CN"/>
        </w:rPr>
        <w:t>作为</w:t>
      </w:r>
      <w:r>
        <w:rPr>
          <w:spacing w:val="-1"/>
          <w:sz w:val="24"/>
          <w:szCs w:val="24"/>
          <w:lang w:eastAsia="zh-CN"/>
        </w:rPr>
        <w:t>实施国土空间用途管制、核</w:t>
      </w:r>
      <w:r>
        <w:rPr>
          <w:spacing w:val="-2"/>
          <w:sz w:val="24"/>
          <w:szCs w:val="24"/>
          <w:lang w:eastAsia="zh-CN"/>
        </w:rPr>
        <w:t>发乡村建设规划许可的依据，满足村庄建</w:t>
      </w:r>
      <w:r>
        <w:rPr>
          <w:spacing w:val="-5"/>
          <w:sz w:val="24"/>
          <w:szCs w:val="24"/>
          <w:lang w:eastAsia="zh-CN"/>
        </w:rPr>
        <w:t>设基本建设和管理需求。</w:t>
      </w:r>
    </w:p>
    <w:p w14:paraId="396C8162" w14:textId="77777777" w:rsidR="004F2967" w:rsidRDefault="00000000">
      <w:pPr>
        <w:pStyle w:val="a3"/>
        <w:spacing w:line="360" w:lineRule="auto"/>
        <w:ind w:firstLineChars="200" w:firstLine="550"/>
        <w:jc w:val="both"/>
        <w:rPr>
          <w:b/>
          <w:bCs/>
          <w:spacing w:val="-5"/>
          <w:sz w:val="28"/>
          <w:szCs w:val="28"/>
          <w:lang w:eastAsia="zh-CN"/>
        </w:rPr>
      </w:pPr>
      <w:r>
        <w:rPr>
          <w:rFonts w:hint="eastAsia"/>
          <w:b/>
          <w:bCs/>
          <w:spacing w:val="-5"/>
          <w:sz w:val="28"/>
          <w:szCs w:val="28"/>
          <w:lang w:eastAsia="zh-CN"/>
        </w:rPr>
        <w:t>一、</w:t>
      </w:r>
      <w:r>
        <w:rPr>
          <w:b/>
          <w:bCs/>
          <w:spacing w:val="-5"/>
          <w:sz w:val="28"/>
          <w:szCs w:val="28"/>
          <w:lang w:eastAsia="zh-CN"/>
        </w:rPr>
        <w:t>生态保护</w:t>
      </w:r>
    </w:p>
    <w:p w14:paraId="12AC4CE5" w14:textId="77777777" w:rsidR="004F2967" w:rsidRPr="007B583B" w:rsidRDefault="00000000">
      <w:pPr>
        <w:pStyle w:val="a3"/>
        <w:spacing w:line="360" w:lineRule="auto"/>
        <w:ind w:firstLineChars="200" w:firstLine="470"/>
        <w:jc w:val="both"/>
        <w:rPr>
          <w:spacing w:val="-5"/>
          <w:sz w:val="24"/>
          <w:szCs w:val="24"/>
          <w:lang w:eastAsia="zh-CN"/>
        </w:rPr>
      </w:pPr>
      <w:r>
        <w:rPr>
          <w:spacing w:val="-5"/>
          <w:sz w:val="24"/>
          <w:szCs w:val="24"/>
          <w:lang w:eastAsia="zh-CN"/>
        </w:rPr>
        <w:t>（1）</w:t>
      </w:r>
      <w:r>
        <w:rPr>
          <w:rFonts w:hint="eastAsia"/>
          <w:spacing w:val="-5"/>
          <w:sz w:val="24"/>
          <w:szCs w:val="24"/>
          <w:lang w:eastAsia="zh-CN"/>
        </w:rPr>
        <w:t>新亨</w:t>
      </w:r>
      <w:proofErr w:type="gramStart"/>
      <w:r>
        <w:rPr>
          <w:spacing w:val="-5"/>
          <w:sz w:val="24"/>
          <w:szCs w:val="24"/>
          <w:lang w:eastAsia="zh-CN"/>
        </w:rPr>
        <w:t>镇涉及</w:t>
      </w:r>
      <w:proofErr w:type="gramEnd"/>
      <w:r>
        <w:rPr>
          <w:spacing w:val="-5"/>
          <w:sz w:val="24"/>
          <w:szCs w:val="24"/>
          <w:lang w:eastAsia="zh-CN"/>
        </w:rPr>
        <w:t>陆域生态保护</w:t>
      </w:r>
      <w:r w:rsidRPr="007B583B">
        <w:rPr>
          <w:spacing w:val="-5"/>
          <w:sz w:val="24"/>
          <w:szCs w:val="24"/>
          <w:lang w:eastAsia="zh-CN"/>
        </w:rPr>
        <w:t>红线</w:t>
      </w:r>
      <w:r w:rsidRPr="007B583B">
        <w:rPr>
          <w:rFonts w:hint="eastAsia"/>
          <w:spacing w:val="-5"/>
          <w:sz w:val="24"/>
          <w:szCs w:val="24"/>
          <w:lang w:eastAsia="zh-CN"/>
        </w:rPr>
        <w:t>3500.58</w:t>
      </w:r>
      <w:r w:rsidRPr="007B583B">
        <w:rPr>
          <w:spacing w:val="-5"/>
          <w:sz w:val="24"/>
          <w:szCs w:val="24"/>
          <w:lang w:eastAsia="zh-CN"/>
        </w:rPr>
        <w:t>公顷。生态保护红线和自然保护地依</w:t>
      </w:r>
      <w:r w:rsidRPr="007B583B">
        <w:rPr>
          <w:rFonts w:hint="eastAsia"/>
          <w:spacing w:val="-5"/>
          <w:sz w:val="24"/>
          <w:szCs w:val="24"/>
          <w:lang w:eastAsia="zh-CN"/>
        </w:rPr>
        <w:t>据国家、省市相关规定和政策进行管控</w:t>
      </w:r>
    </w:p>
    <w:p w14:paraId="770E9AD2" w14:textId="77777777" w:rsidR="004F2967" w:rsidRPr="007B583B" w:rsidRDefault="00000000">
      <w:pPr>
        <w:pStyle w:val="a3"/>
        <w:spacing w:line="360" w:lineRule="auto"/>
        <w:ind w:firstLineChars="200" w:firstLine="470"/>
        <w:jc w:val="both"/>
        <w:rPr>
          <w:spacing w:val="-5"/>
          <w:sz w:val="24"/>
          <w:szCs w:val="24"/>
          <w:lang w:eastAsia="zh-CN"/>
        </w:rPr>
      </w:pPr>
      <w:r w:rsidRPr="007B583B">
        <w:rPr>
          <w:spacing w:val="-5"/>
          <w:sz w:val="24"/>
          <w:szCs w:val="24"/>
          <w:lang w:eastAsia="zh-CN"/>
        </w:rPr>
        <w:t>（2）生态林、水域、自然保留地等生态用地，不得进行破坏生态景观、污染环境的开发建设活动，做到慎砍树、禁挖山、不填湖。</w:t>
      </w:r>
    </w:p>
    <w:p w14:paraId="06565BE2" w14:textId="77777777" w:rsidR="004F2967" w:rsidRPr="007B583B" w:rsidRDefault="00000000">
      <w:pPr>
        <w:pStyle w:val="a3"/>
        <w:spacing w:line="360" w:lineRule="auto"/>
        <w:ind w:firstLineChars="200" w:firstLine="470"/>
        <w:jc w:val="both"/>
        <w:rPr>
          <w:spacing w:val="-5"/>
          <w:sz w:val="24"/>
          <w:szCs w:val="24"/>
          <w:lang w:eastAsia="zh-CN"/>
        </w:rPr>
      </w:pPr>
      <w:r w:rsidRPr="007B583B">
        <w:rPr>
          <w:rFonts w:hint="eastAsia"/>
          <w:spacing w:val="-5"/>
          <w:sz w:val="24"/>
          <w:szCs w:val="24"/>
          <w:lang w:eastAsia="zh-CN"/>
        </w:rPr>
        <w:t>（3）严禁挖山填湖、削峰填谷、挖湖造景或毁林、破坏水域水系；禁止毁林开垦、采石、采砂、采土以及其他毁坏林木和林地的行为。</w:t>
      </w:r>
    </w:p>
    <w:p w14:paraId="3A0FAEAA" w14:textId="77777777" w:rsidR="004F2967" w:rsidRPr="007B583B" w:rsidRDefault="00000000">
      <w:pPr>
        <w:pStyle w:val="a3"/>
        <w:spacing w:line="360" w:lineRule="auto"/>
        <w:ind w:firstLineChars="200" w:firstLine="550"/>
        <w:jc w:val="both"/>
        <w:rPr>
          <w:b/>
          <w:bCs/>
          <w:spacing w:val="-5"/>
          <w:sz w:val="28"/>
          <w:szCs w:val="28"/>
          <w:lang w:eastAsia="zh-CN"/>
        </w:rPr>
      </w:pPr>
      <w:r w:rsidRPr="007B583B">
        <w:rPr>
          <w:rFonts w:hint="eastAsia"/>
          <w:b/>
          <w:bCs/>
          <w:spacing w:val="-5"/>
          <w:sz w:val="28"/>
          <w:szCs w:val="28"/>
          <w:lang w:eastAsia="zh-CN"/>
        </w:rPr>
        <w:t>二、耕地和永久基本农田保护</w:t>
      </w:r>
    </w:p>
    <w:p w14:paraId="06AC8721" w14:textId="77777777" w:rsidR="004F2967" w:rsidRPr="007B583B" w:rsidRDefault="00000000">
      <w:pPr>
        <w:pStyle w:val="a3"/>
        <w:spacing w:line="360" w:lineRule="auto"/>
        <w:ind w:firstLineChars="200" w:firstLine="470"/>
        <w:jc w:val="both"/>
        <w:rPr>
          <w:spacing w:val="-5"/>
          <w:sz w:val="24"/>
          <w:szCs w:val="24"/>
          <w:lang w:eastAsia="zh-CN"/>
        </w:rPr>
      </w:pPr>
      <w:r w:rsidRPr="007B583B">
        <w:rPr>
          <w:spacing w:val="-5"/>
          <w:sz w:val="24"/>
          <w:szCs w:val="24"/>
          <w:lang w:eastAsia="zh-CN"/>
        </w:rPr>
        <w:t>（1）</w:t>
      </w:r>
      <w:r w:rsidRPr="007B583B">
        <w:rPr>
          <w:rFonts w:hint="eastAsia"/>
          <w:spacing w:val="-5"/>
          <w:sz w:val="24"/>
          <w:szCs w:val="24"/>
          <w:lang w:eastAsia="zh-CN"/>
        </w:rPr>
        <w:t>新亨镇划定</w:t>
      </w:r>
      <w:r w:rsidRPr="007B583B">
        <w:rPr>
          <w:spacing w:val="-5"/>
          <w:sz w:val="24"/>
          <w:szCs w:val="24"/>
          <w:lang w:eastAsia="zh-CN"/>
        </w:rPr>
        <w:t>永久基本农田</w:t>
      </w:r>
      <w:r w:rsidRPr="007B583B">
        <w:rPr>
          <w:rFonts w:hint="eastAsia"/>
          <w:spacing w:val="-5"/>
          <w:sz w:val="24"/>
          <w:szCs w:val="24"/>
          <w:lang w:eastAsia="zh-CN"/>
        </w:rPr>
        <w:t>保护面积692.32公顷</w:t>
      </w:r>
      <w:r w:rsidRPr="007B583B">
        <w:rPr>
          <w:spacing w:val="-5"/>
          <w:sz w:val="24"/>
          <w:szCs w:val="24"/>
          <w:lang w:eastAsia="zh-CN"/>
        </w:rPr>
        <w:t>，任何单位和个人不得擅自占用或改变用途。落实耕地保有量</w:t>
      </w:r>
      <w:r w:rsidRPr="007B583B">
        <w:rPr>
          <w:rFonts w:hint="eastAsia"/>
          <w:spacing w:val="-5"/>
          <w:sz w:val="24"/>
          <w:szCs w:val="24"/>
          <w:lang w:eastAsia="zh-CN"/>
        </w:rPr>
        <w:t>751.84公顷</w:t>
      </w:r>
      <w:r w:rsidRPr="007B583B">
        <w:rPr>
          <w:spacing w:val="-5"/>
          <w:sz w:val="24"/>
          <w:szCs w:val="24"/>
          <w:lang w:eastAsia="zh-CN"/>
        </w:rPr>
        <w:t>，任何个人和单位不得随意占用耕地，确需占用的，应经村民小组确认，村委会审查同意出具书面意见后，由镇政府按程序办理相关报批手续。耕地保有量和永久基本农田依据国家、省市相关规定和政策进行管控。</w:t>
      </w:r>
    </w:p>
    <w:p w14:paraId="23C8A886" w14:textId="77777777" w:rsidR="004F2967" w:rsidRPr="007B583B" w:rsidRDefault="00000000">
      <w:pPr>
        <w:pStyle w:val="a3"/>
        <w:spacing w:line="360" w:lineRule="auto"/>
        <w:ind w:firstLineChars="200" w:firstLine="470"/>
        <w:jc w:val="both"/>
        <w:rPr>
          <w:spacing w:val="-5"/>
          <w:sz w:val="24"/>
          <w:szCs w:val="24"/>
          <w:lang w:eastAsia="zh-CN"/>
        </w:rPr>
      </w:pPr>
      <w:r w:rsidRPr="007B583B">
        <w:rPr>
          <w:spacing w:val="-5"/>
          <w:sz w:val="24"/>
          <w:szCs w:val="24"/>
          <w:lang w:eastAsia="zh-CN"/>
        </w:rPr>
        <w:t>（2）未经批准，不得在园地、商品林及其他农用地进行非农建设活动，不得进行毁林开垦、采石、挖沙、采矿、取土等活动。</w:t>
      </w:r>
    </w:p>
    <w:p w14:paraId="63F5E49C" w14:textId="77777777" w:rsidR="004F2967" w:rsidRPr="007B583B" w:rsidRDefault="00000000">
      <w:pPr>
        <w:pStyle w:val="a3"/>
        <w:spacing w:line="360" w:lineRule="auto"/>
        <w:ind w:firstLineChars="200" w:firstLine="470"/>
        <w:jc w:val="both"/>
        <w:rPr>
          <w:spacing w:val="-5"/>
          <w:sz w:val="24"/>
          <w:szCs w:val="24"/>
          <w:lang w:eastAsia="zh-CN"/>
        </w:rPr>
      </w:pPr>
      <w:r w:rsidRPr="007B583B">
        <w:rPr>
          <w:spacing w:val="-5"/>
          <w:sz w:val="24"/>
          <w:szCs w:val="24"/>
          <w:lang w:eastAsia="zh-CN"/>
        </w:rPr>
        <w:t>（3）设施农用地应按规定要求兴建设施和使用土地，不得擅自或变相将设施农用地用于其他非农建设，并采取措施防止对土壤耕作</w:t>
      </w:r>
      <w:proofErr w:type="gramStart"/>
      <w:r w:rsidRPr="007B583B">
        <w:rPr>
          <w:spacing w:val="-5"/>
          <w:sz w:val="24"/>
          <w:szCs w:val="24"/>
          <w:lang w:eastAsia="zh-CN"/>
        </w:rPr>
        <w:t>层破坏</w:t>
      </w:r>
      <w:proofErr w:type="gramEnd"/>
      <w:r w:rsidRPr="007B583B">
        <w:rPr>
          <w:spacing w:val="-5"/>
          <w:sz w:val="24"/>
          <w:szCs w:val="24"/>
          <w:lang w:eastAsia="zh-CN"/>
        </w:rPr>
        <w:t>和污染。</w:t>
      </w:r>
    </w:p>
    <w:p w14:paraId="6B501CE5" w14:textId="77777777" w:rsidR="004F2967" w:rsidRPr="007B583B" w:rsidRDefault="00000000">
      <w:pPr>
        <w:pStyle w:val="a3"/>
        <w:spacing w:line="360" w:lineRule="auto"/>
        <w:ind w:firstLineChars="200" w:firstLine="550"/>
        <w:jc w:val="both"/>
        <w:rPr>
          <w:b/>
          <w:bCs/>
          <w:spacing w:val="-5"/>
          <w:sz w:val="28"/>
          <w:szCs w:val="28"/>
          <w:lang w:eastAsia="zh-CN"/>
        </w:rPr>
      </w:pPr>
      <w:r w:rsidRPr="007B583B">
        <w:rPr>
          <w:rFonts w:hint="eastAsia"/>
          <w:b/>
          <w:bCs/>
          <w:spacing w:val="-5"/>
          <w:sz w:val="28"/>
          <w:szCs w:val="28"/>
          <w:lang w:eastAsia="zh-CN"/>
        </w:rPr>
        <w:lastRenderedPageBreak/>
        <w:t>三、历史文化传承与保护</w:t>
      </w:r>
    </w:p>
    <w:p w14:paraId="7B71706E" w14:textId="77777777" w:rsidR="004F2967" w:rsidRPr="007B583B" w:rsidRDefault="00000000">
      <w:pPr>
        <w:pStyle w:val="a3"/>
        <w:spacing w:line="360" w:lineRule="auto"/>
        <w:ind w:firstLineChars="200" w:firstLine="470"/>
        <w:jc w:val="both"/>
        <w:rPr>
          <w:spacing w:val="-5"/>
          <w:sz w:val="24"/>
          <w:szCs w:val="24"/>
          <w:lang w:eastAsia="zh-CN"/>
        </w:rPr>
      </w:pPr>
      <w:r w:rsidRPr="007B583B">
        <w:rPr>
          <w:rFonts w:hint="eastAsia"/>
          <w:spacing w:val="-5"/>
          <w:sz w:val="24"/>
          <w:szCs w:val="24"/>
          <w:lang w:eastAsia="zh-CN"/>
        </w:rPr>
        <w:t>（1）历史文化名村/传统村落、文物保护单位、历史建筑、不可移动文物等历史文化资源，依照相应法律法规、保护规划和上位规划要求进行管控。</w:t>
      </w:r>
    </w:p>
    <w:p w14:paraId="49F313E3" w14:textId="77777777" w:rsidR="004F2967" w:rsidRPr="007B583B" w:rsidRDefault="00000000">
      <w:pPr>
        <w:pStyle w:val="a3"/>
        <w:spacing w:line="360" w:lineRule="auto"/>
        <w:ind w:firstLineChars="200" w:firstLine="470"/>
        <w:jc w:val="both"/>
        <w:rPr>
          <w:b/>
          <w:bCs/>
          <w:spacing w:val="-5"/>
          <w:sz w:val="28"/>
          <w:szCs w:val="28"/>
          <w:lang w:eastAsia="zh-CN"/>
        </w:rPr>
      </w:pPr>
      <w:r w:rsidRPr="007B583B">
        <w:rPr>
          <w:rFonts w:hint="eastAsia"/>
          <w:spacing w:val="-5"/>
          <w:sz w:val="24"/>
          <w:szCs w:val="24"/>
          <w:lang w:eastAsia="zh-CN"/>
        </w:rPr>
        <w:t>（2）鼓励和支持公民、法人和其他组织以捐赠、资助、提供技术服务或者志愿服务等方式，参与历史文化名村、传统村落和历史建筑的保护、利用和运营管理工作，鼓励原住居民的参与，保障原住居民的合法权益。</w:t>
      </w:r>
    </w:p>
    <w:p w14:paraId="0D4EC2E9" w14:textId="77777777" w:rsidR="004F2967" w:rsidRPr="007B583B" w:rsidRDefault="00000000">
      <w:pPr>
        <w:pStyle w:val="a3"/>
        <w:spacing w:line="360" w:lineRule="auto"/>
        <w:ind w:firstLineChars="200" w:firstLine="550"/>
        <w:jc w:val="both"/>
        <w:rPr>
          <w:b/>
          <w:bCs/>
          <w:spacing w:val="-5"/>
          <w:sz w:val="28"/>
          <w:szCs w:val="28"/>
          <w:lang w:eastAsia="zh-CN"/>
        </w:rPr>
      </w:pPr>
      <w:r w:rsidRPr="007B583B">
        <w:rPr>
          <w:rFonts w:hint="eastAsia"/>
          <w:b/>
          <w:bCs/>
          <w:spacing w:val="-5"/>
          <w:sz w:val="28"/>
          <w:szCs w:val="28"/>
          <w:lang w:eastAsia="zh-CN"/>
        </w:rPr>
        <w:t>四、建设空间管制</w:t>
      </w:r>
    </w:p>
    <w:p w14:paraId="21981726" w14:textId="77777777" w:rsidR="004F2967" w:rsidRPr="007B583B" w:rsidRDefault="00000000">
      <w:pPr>
        <w:pStyle w:val="a3"/>
        <w:spacing w:line="360" w:lineRule="auto"/>
        <w:ind w:firstLineChars="200" w:firstLine="470"/>
        <w:jc w:val="both"/>
        <w:rPr>
          <w:spacing w:val="-5"/>
          <w:sz w:val="24"/>
          <w:szCs w:val="24"/>
          <w:lang w:eastAsia="zh-CN"/>
        </w:rPr>
      </w:pPr>
      <w:r w:rsidRPr="007B583B">
        <w:rPr>
          <w:rFonts w:hint="eastAsia"/>
          <w:spacing w:val="-5"/>
          <w:sz w:val="24"/>
          <w:szCs w:val="24"/>
          <w:lang w:eastAsia="zh-CN"/>
        </w:rPr>
        <w:t>新亨镇</w:t>
      </w:r>
      <w:r w:rsidRPr="007B583B">
        <w:rPr>
          <w:spacing w:val="-5"/>
          <w:sz w:val="24"/>
          <w:szCs w:val="24"/>
          <w:lang w:eastAsia="zh-CN"/>
        </w:rPr>
        <w:t>落实城镇开发边界</w:t>
      </w:r>
      <w:r w:rsidRPr="007B583B">
        <w:rPr>
          <w:rFonts w:hint="eastAsia"/>
          <w:spacing w:val="-5"/>
          <w:sz w:val="24"/>
          <w:szCs w:val="24"/>
          <w:lang w:eastAsia="zh-CN"/>
        </w:rPr>
        <w:t>1008.44公顷</w:t>
      </w:r>
      <w:r w:rsidRPr="007B583B">
        <w:rPr>
          <w:spacing w:val="-5"/>
          <w:sz w:val="24"/>
          <w:szCs w:val="24"/>
          <w:lang w:eastAsia="zh-CN"/>
        </w:rPr>
        <w:t>，依据国家、省市相关规定</w:t>
      </w:r>
      <w:r w:rsidRPr="007B583B">
        <w:rPr>
          <w:rFonts w:hint="eastAsia"/>
          <w:spacing w:val="-5"/>
          <w:sz w:val="24"/>
          <w:szCs w:val="24"/>
          <w:lang w:eastAsia="zh-CN"/>
        </w:rPr>
        <w:t>和政策进行管控。</w:t>
      </w:r>
    </w:p>
    <w:p w14:paraId="62BCD09D" w14:textId="77777777" w:rsidR="004F2967" w:rsidRPr="007B583B" w:rsidRDefault="00000000">
      <w:pPr>
        <w:pStyle w:val="a3"/>
        <w:spacing w:line="360" w:lineRule="auto"/>
        <w:ind w:firstLineChars="200" w:firstLine="470"/>
        <w:jc w:val="both"/>
        <w:rPr>
          <w:spacing w:val="-5"/>
          <w:sz w:val="24"/>
          <w:szCs w:val="24"/>
          <w:lang w:eastAsia="zh-CN"/>
        </w:rPr>
      </w:pPr>
      <w:r w:rsidRPr="007B583B">
        <w:rPr>
          <w:rFonts w:hint="eastAsia"/>
          <w:spacing w:val="-5"/>
          <w:sz w:val="24"/>
          <w:szCs w:val="24"/>
          <w:lang w:eastAsia="zh-CN"/>
        </w:rPr>
        <w:t>1、产业发展空间</w:t>
      </w:r>
    </w:p>
    <w:p w14:paraId="009BFFA4" w14:textId="77777777" w:rsidR="004F2967" w:rsidRDefault="00000000">
      <w:pPr>
        <w:pStyle w:val="a3"/>
        <w:spacing w:line="360" w:lineRule="auto"/>
        <w:ind w:firstLineChars="200" w:firstLine="470"/>
        <w:jc w:val="both"/>
        <w:rPr>
          <w:spacing w:val="-5"/>
          <w:sz w:val="24"/>
          <w:szCs w:val="24"/>
          <w:lang w:eastAsia="zh-CN"/>
        </w:rPr>
      </w:pPr>
      <w:r w:rsidRPr="007B583B">
        <w:rPr>
          <w:rFonts w:hint="eastAsia"/>
          <w:spacing w:val="-5"/>
          <w:sz w:val="24"/>
          <w:szCs w:val="24"/>
          <w:lang w:eastAsia="zh-CN"/>
        </w:rPr>
        <w:t>（1）明确乡村产业项目建设要求。允许符合国土空间管控规则、有特定选址要求的农村一二三产业融合发展项目、零</w:t>
      </w:r>
      <w:r>
        <w:rPr>
          <w:rFonts w:hint="eastAsia"/>
          <w:spacing w:val="-5"/>
          <w:sz w:val="24"/>
          <w:szCs w:val="24"/>
          <w:lang w:eastAsia="zh-CN"/>
        </w:rPr>
        <w:t>星城镇建设项目以及符合自然资源部《乡村振兴用地政策指南》（2023年）要求的乡村振兴建设项目布局在城镇开发边界外的村庄用地中。国家明令淘汰的落后产能、列入国家禁止类产业目录的、污染环境的项目，不得进入乡村。农村产业融合发展用地不得用于商品住宅、别墅、酒店、公寓等房地产开发，不得擅自改变用途或分割转让转租。</w:t>
      </w:r>
    </w:p>
    <w:p w14:paraId="7BAAD991"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2）工业用地原则上容积率上限为4.0、下限为0.8，建筑密度下限为30%、绿地率上限为20%、建筑高度上限60米，其他配建要求则根据镇村企业的产业需求进行综合确定。鼓励按照标准厂房的要求进行建设，产业用地应符合《工业项目建设用地控制指标》关于的容积率、建筑密度等管控指标进行具体要求。（详见附件）</w:t>
      </w:r>
    </w:p>
    <w:p w14:paraId="64698935"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lastRenderedPageBreak/>
        <w:t>（3）仓储用地原则上容积率上限为3.5，建筑密度下限为10%，建筑高度上限为60米，绿地率上限为20%，其他配建要求则根据镇村企业的产业需求进行综合确定。（详见附件）</w:t>
      </w:r>
    </w:p>
    <w:p w14:paraId="3FC1B376"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4）商业服务业用地原则上容积率上限为3.5，建筑密度上限为50%，建筑高度上限为80米，绿地率下限为20%，按照1.0车位/100㎡建筑面积的标准配置机动车停车位，地块建筑应符合日照、消防、卫生、环保、防灾、交通需求、工程管线埋设等相关要求。（详见附件）</w:t>
      </w:r>
    </w:p>
    <w:p w14:paraId="050E7D5A"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（4）经营性建设用地调整应经村民小组确认，由村委会审查同意，逐级报村庄规划原审批机关批准。</w:t>
      </w:r>
    </w:p>
    <w:p w14:paraId="17EBA41D"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2、农村住房</w:t>
      </w:r>
    </w:p>
    <w:p w14:paraId="4603ABC6"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（1）本村位于城镇开发边界外的国土空间应依据《揭阳市揭东区农村宅基地和住房建设管理办法》（揭东府</w:t>
      </w:r>
      <w:proofErr w:type="gramStart"/>
      <w:r>
        <w:rPr>
          <w:rFonts w:hint="eastAsia"/>
          <w:spacing w:val="-5"/>
          <w:sz w:val="24"/>
          <w:szCs w:val="24"/>
          <w:lang w:eastAsia="zh-CN"/>
        </w:rPr>
        <w:t>规</w:t>
      </w:r>
      <w:proofErr w:type="gramEnd"/>
      <w:r>
        <w:rPr>
          <w:rFonts w:hint="eastAsia"/>
          <w:spacing w:val="-5"/>
          <w:sz w:val="24"/>
          <w:szCs w:val="24"/>
          <w:lang w:eastAsia="zh-CN"/>
        </w:rPr>
        <w:t>〔2021〕1号）的要求，农民建房要严格执行一户一宅标准，并应在村庄建设边界范围内选址，避开洪涝灾害等危险区域，严格控制削坡建房。村民建房建筑层数原则上不超过6层，建筑高度不超过27米，住宅建筑之间应留足间距，以满足日照、通风、安全等方面的要求，应体现潮汕本土特色，统一采用简洁明快风格，符合村庄整体景观风貌控制性要求。乡镇（街道、农场）新批准每户宅基地占地面积控制在：平原地区和城市郊区每户不得超过80平方米，丘陵地区每户不得超过120平方米，山区每户不得超过150平方米。</w:t>
      </w:r>
    </w:p>
    <w:p w14:paraId="15E1B076"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（2）村民住宅建设应当优先使用原有的宅基地、空闲地和未利用地，严格控制使用耕地。占用耕地建设住宅的，应当按国家和省的有关规定补充耕地。禁止村民在地质灾害危险区内建设住宅。</w:t>
      </w:r>
    </w:p>
    <w:p w14:paraId="0E3B5711"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lastRenderedPageBreak/>
        <w:t>（3）鼓励村庄采取集体建房方式建设住房，提倡在充分尊重农民意愿的基础上，按照广东省宅基地面积标准保障农村村民“户有所居”，开展农民公寓、农民小区等农民集中式住宅建设，满足人多地少地区的村民住房需求。根据《管理办法》符合下列情形之一的村民，可以申请分配集体建房：一是未分配宅基地，且符合“一户一宅”宅基地申请政策的本集体经济组织成员；二是与村集体协商一致，由村集体收回宅基地使用权，并注销原宅基地使用证及其房屋所有权证，凭宅基地“以地换房”的村民；三是原住房不符合村庄规划或者因国家、集体建设需要搬迁的，或者因自然灾害等原因，需要安置的；四是经区人民政府批准纳入的其他情形。</w:t>
      </w:r>
    </w:p>
    <w:p w14:paraId="1587E37F"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结合《揭阳市人民政府关于印发揭阳市开展农民集中式住宅建设试点工作实施方案的通知》（</w:t>
      </w:r>
      <w:proofErr w:type="gramStart"/>
      <w:r>
        <w:rPr>
          <w:rFonts w:hint="eastAsia"/>
          <w:spacing w:val="-5"/>
          <w:sz w:val="24"/>
          <w:szCs w:val="24"/>
          <w:lang w:eastAsia="zh-CN"/>
        </w:rPr>
        <w:t>揭府〔2023〕</w:t>
      </w:r>
      <w:proofErr w:type="gramEnd"/>
      <w:r>
        <w:rPr>
          <w:rFonts w:hint="eastAsia"/>
          <w:spacing w:val="-5"/>
          <w:sz w:val="24"/>
          <w:szCs w:val="24"/>
          <w:lang w:eastAsia="zh-CN"/>
        </w:rPr>
        <w:t>49号文）及相关规定，集中式住宅容积率不大于5.0，单套建筑面积不超过144平方米，建筑密度上限为40%，绿地率下限为20%。地块建设应按照0.8-1.3位/户的标准配置停车位，采用地上、地下相结合的方式进行配置；应根据居住人口，按照国家、省、市的 相关要求在地块内配套微型消防站、老年人日间照料中心、公共厕所、垃圾分类收集点、邮政快递点等公共服务设施。</w:t>
      </w:r>
    </w:p>
    <w:p w14:paraId="192F3B15"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4）村民住宅建设必须符合工程抗震设防要求，采取相应的抗震措施，保证建筑材料和施工质量，使住房达到应有的抗震性能；必须考虑防火分隔，设防火墙和防火间距，配备必要的消防设施；规范用电、用气、用水线路，确保线路安全、有序，沿道路两侧应设置排水、排洪管、沟、渠。</w:t>
      </w:r>
    </w:p>
    <w:p w14:paraId="43FA5418"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（5）农村宅基地和住房建设竣工验收合格后，建房村民可以凭竣工不动产测绘报告、《揭阳市揭东区农村宅基地和住房建设竣工验收表》，向区不动产登记部门申请办理不动产登记，核发不动产权证。</w:t>
      </w:r>
    </w:p>
    <w:p w14:paraId="7578F0C9"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lastRenderedPageBreak/>
        <w:t>3</w:t>
      </w:r>
      <w:r>
        <w:rPr>
          <w:rFonts w:hint="eastAsia"/>
          <w:spacing w:val="-5"/>
          <w:sz w:val="24"/>
          <w:szCs w:val="24"/>
          <w:lang w:eastAsia="zh-CN"/>
        </w:rPr>
        <w:t>、</w:t>
      </w:r>
      <w:r>
        <w:rPr>
          <w:spacing w:val="-5"/>
          <w:sz w:val="24"/>
          <w:szCs w:val="24"/>
          <w:lang w:eastAsia="zh-CN"/>
        </w:rPr>
        <w:t>基础设施和公共服务设施</w:t>
      </w:r>
    </w:p>
    <w:p w14:paraId="3BBA4794"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（1）按照城乡基本公共服务均等化要求和乡村生活圈理念，充分结合</w:t>
      </w:r>
      <w:r>
        <w:rPr>
          <w:rFonts w:hint="eastAsia"/>
          <w:spacing w:val="-5"/>
          <w:sz w:val="24"/>
          <w:szCs w:val="24"/>
          <w:lang w:eastAsia="zh-CN"/>
        </w:rPr>
        <w:t>本村</w:t>
      </w:r>
      <w:r>
        <w:rPr>
          <w:spacing w:val="-5"/>
          <w:sz w:val="24"/>
          <w:szCs w:val="24"/>
          <w:lang w:eastAsia="zh-CN"/>
        </w:rPr>
        <w:t>村民生产生活方式，满足农村公共服务设施用地和基础设施的建设要求。重点保障综合服务站、基层综合性文化服务中心、卫生室、养老和教育等公共服务设施用地和垃圾收集点、公厕、污水处理设施等基础设施用地。公共服务设施用地宜相对集中布置，在满足使用要求和建设规范的前提下，鼓励</w:t>
      </w:r>
      <w:r>
        <w:rPr>
          <w:rFonts w:hint="eastAsia"/>
          <w:spacing w:val="-5"/>
          <w:sz w:val="24"/>
          <w:szCs w:val="24"/>
          <w:lang w:eastAsia="zh-CN"/>
        </w:rPr>
        <w:t>村庄内</w:t>
      </w:r>
      <w:r>
        <w:rPr>
          <w:spacing w:val="-5"/>
          <w:sz w:val="24"/>
          <w:szCs w:val="24"/>
          <w:lang w:eastAsia="zh-CN"/>
        </w:rPr>
        <w:t>公共管理、托幼、养老</w:t>
      </w:r>
      <w:r>
        <w:rPr>
          <w:rFonts w:hint="eastAsia"/>
          <w:spacing w:val="-5"/>
          <w:sz w:val="24"/>
          <w:szCs w:val="24"/>
          <w:lang w:eastAsia="zh-CN"/>
        </w:rPr>
        <w:t>与</w:t>
      </w:r>
      <w:r>
        <w:rPr>
          <w:spacing w:val="-5"/>
          <w:sz w:val="24"/>
          <w:szCs w:val="24"/>
          <w:lang w:eastAsia="zh-CN"/>
        </w:rPr>
        <w:t>医疗等设施空间复合使用。</w:t>
      </w:r>
    </w:p>
    <w:p w14:paraId="7458DCA4"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（2）村庄公共管理与公共服务用地、公用设施用地管理原则上</w:t>
      </w:r>
      <w:r>
        <w:rPr>
          <w:rFonts w:hint="eastAsia"/>
          <w:spacing w:val="-5"/>
          <w:sz w:val="24"/>
          <w:szCs w:val="24"/>
          <w:lang w:eastAsia="zh-CN"/>
        </w:rPr>
        <w:t>容积率不超过2.0，其他控制指标可在规划实施阶段根据设施规模需求、行业技术规范和项目立项批复等文件确定。（详见附件）</w:t>
      </w:r>
    </w:p>
    <w:p w14:paraId="101584A7"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（3）</w:t>
      </w:r>
      <w:r>
        <w:rPr>
          <w:rFonts w:hint="eastAsia"/>
          <w:spacing w:val="-5"/>
          <w:sz w:val="24"/>
          <w:szCs w:val="24"/>
          <w:lang w:eastAsia="zh-CN"/>
        </w:rPr>
        <w:t>村庄</w:t>
      </w:r>
      <w:r>
        <w:rPr>
          <w:spacing w:val="-5"/>
          <w:sz w:val="24"/>
          <w:szCs w:val="24"/>
          <w:lang w:eastAsia="zh-CN"/>
        </w:rPr>
        <w:t>公用设施用地管理原则上</w:t>
      </w:r>
      <w:r>
        <w:rPr>
          <w:rFonts w:hint="eastAsia"/>
          <w:spacing w:val="-5"/>
          <w:sz w:val="24"/>
          <w:szCs w:val="24"/>
          <w:lang w:eastAsia="zh-CN"/>
        </w:rPr>
        <w:t>容积率不超过2.0，其他控制指标</w:t>
      </w:r>
      <w:r>
        <w:rPr>
          <w:spacing w:val="-5"/>
          <w:sz w:val="24"/>
          <w:szCs w:val="24"/>
          <w:lang w:eastAsia="zh-CN"/>
        </w:rPr>
        <w:t>应当符合国家、省、市相关技术规章、规范及标准要求。</w:t>
      </w:r>
      <w:r>
        <w:rPr>
          <w:rFonts w:hint="eastAsia"/>
          <w:spacing w:val="-5"/>
          <w:sz w:val="24"/>
          <w:szCs w:val="24"/>
          <w:lang w:eastAsia="zh-CN"/>
        </w:rPr>
        <w:t>（详见附件）</w:t>
      </w:r>
    </w:p>
    <w:p w14:paraId="248EC4ED"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（4）河道、河滩边形成的通道、村社道、国省道等路边2米，为公共设施用地和集体用地，任何村民不得侵占，在征用过程中不再作任何补偿。</w:t>
      </w:r>
    </w:p>
    <w:p w14:paraId="14256BCD"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4、</w:t>
      </w:r>
      <w:r>
        <w:rPr>
          <w:spacing w:val="-5"/>
          <w:sz w:val="24"/>
          <w:szCs w:val="24"/>
          <w:lang w:eastAsia="zh-CN"/>
        </w:rPr>
        <w:t>建设退距</w:t>
      </w:r>
    </w:p>
    <w:p w14:paraId="7AA557AF"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合理控制建设退距。高速公路、铁路、公路、架空电力线路等交通及市政要素周边开展的各类建设应遵循有关法律法规条例的规定与相关主管部门的要求进行建筑退让。新建、改建、扩建建筑物与用地界线、城镇道路、公路、河道、绿地与开敞空间、地面轨道交通相邻时，其建筑控制线退让距离，必须综合考虑消防、日照、抗震、防汛、防爆、交通安全以及水源保护、环境保护、电力保护、城镇景观等方面的要求。地上建筑退让道路边线或用地红线距离应不小于地下建筑物深</w:t>
      </w:r>
      <w:r>
        <w:rPr>
          <w:rFonts w:hint="eastAsia"/>
          <w:spacing w:val="-5"/>
          <w:sz w:val="24"/>
          <w:szCs w:val="24"/>
          <w:lang w:eastAsia="zh-CN"/>
        </w:rPr>
        <w:t>度（自室外地面至地下建筑物底板底部的距离）的0.7倍，且其最小值应不小于4米。村庄建筑之间须留出符合</w:t>
      </w:r>
      <w:proofErr w:type="gramStart"/>
      <w:r>
        <w:rPr>
          <w:rFonts w:hint="eastAsia"/>
          <w:spacing w:val="-5"/>
          <w:sz w:val="24"/>
          <w:szCs w:val="24"/>
          <w:lang w:eastAsia="zh-CN"/>
        </w:rPr>
        <w:t>村庄消防</w:t>
      </w:r>
      <w:proofErr w:type="gramEnd"/>
      <w:r>
        <w:rPr>
          <w:rFonts w:hint="eastAsia"/>
          <w:spacing w:val="-5"/>
          <w:sz w:val="24"/>
          <w:szCs w:val="24"/>
          <w:lang w:eastAsia="zh-CN"/>
        </w:rPr>
        <w:t>安全的距离及通道。</w:t>
      </w:r>
    </w:p>
    <w:p w14:paraId="3421C7F7"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lastRenderedPageBreak/>
        <w:t>村庄各类建设</w:t>
      </w:r>
      <w:proofErr w:type="gramStart"/>
      <w:r>
        <w:rPr>
          <w:spacing w:val="-5"/>
          <w:sz w:val="24"/>
          <w:szCs w:val="24"/>
          <w:lang w:eastAsia="zh-CN"/>
        </w:rPr>
        <w:t>建筑退距应</w:t>
      </w:r>
      <w:proofErr w:type="gramEnd"/>
      <w:r>
        <w:rPr>
          <w:spacing w:val="-5"/>
          <w:sz w:val="24"/>
          <w:szCs w:val="24"/>
          <w:lang w:eastAsia="zh-CN"/>
        </w:rPr>
        <w:t>符合《广东省公路条例》的相关要求。公路建筑控制区的</w:t>
      </w:r>
      <w:r>
        <w:rPr>
          <w:rFonts w:hint="eastAsia"/>
          <w:spacing w:val="-5"/>
          <w:sz w:val="24"/>
          <w:szCs w:val="24"/>
          <w:lang w:eastAsia="zh-CN"/>
        </w:rPr>
        <w:t>范围，从公路用地外缘起向外的距离标准为：国道不少于20米；省道不少于15米；县道不少于10米；乡道不少于5米。属于高速公路的，公路建筑控制区的范围从公路用地外缘起向外的距离标准不少于30米。公路弯道内侧、互通立交以及平面交叉道口的建筑控制区范围根据安全视距等要求确定。禁止在公路建筑控制区内修建建筑物和地面构筑物，但公路防护、养护需要的除外。</w:t>
      </w:r>
    </w:p>
    <w:p w14:paraId="0F011E15"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5</w:t>
      </w:r>
      <w:r>
        <w:rPr>
          <w:rFonts w:hint="eastAsia"/>
          <w:spacing w:val="-5"/>
          <w:sz w:val="24"/>
          <w:szCs w:val="24"/>
          <w:lang w:eastAsia="zh-CN"/>
        </w:rPr>
        <w:t>、</w:t>
      </w:r>
      <w:r>
        <w:rPr>
          <w:spacing w:val="-5"/>
          <w:sz w:val="24"/>
          <w:szCs w:val="24"/>
          <w:lang w:eastAsia="zh-CN"/>
        </w:rPr>
        <w:t>乡村建设风貌</w:t>
      </w:r>
    </w:p>
    <w:p w14:paraId="38EBCCD1"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提升乡村风貌建设管理。乡村风貌</w:t>
      </w:r>
      <w:proofErr w:type="gramStart"/>
      <w:r>
        <w:rPr>
          <w:spacing w:val="-5"/>
          <w:sz w:val="24"/>
          <w:szCs w:val="24"/>
          <w:lang w:eastAsia="zh-CN"/>
        </w:rPr>
        <w:t>管控应按照</w:t>
      </w:r>
      <w:proofErr w:type="gramEnd"/>
      <w:r>
        <w:rPr>
          <w:spacing w:val="-5"/>
          <w:sz w:val="24"/>
          <w:szCs w:val="24"/>
          <w:lang w:eastAsia="zh-CN"/>
        </w:rPr>
        <w:t>《广东省乡村风貌修复提升指引（试行）》执行。建筑后退铁路、公路、城镇道路、河道、架空电力线路等的距离为刚性控制内容，应符合其他国家、省、市相关规范要求。农房建筑风貌及外立面设计实行全区规范管理、免费提供图纸的制度，充分保护潮汕民居地域特色。具体要求由揭东自然资源部门负责编制全区乡村农房风貌外观设计样式，商区农业农村部门研究制定，报区人民政府同意后实施。</w:t>
      </w:r>
    </w:p>
    <w:p w14:paraId="491D48D0"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（1）农房整治</w:t>
      </w:r>
    </w:p>
    <w:p w14:paraId="037F3A12"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规划考虑到近期实施操作可行性，综合考虑市政基础设施配套难度、村民意愿等，明确农房的整治规划方式分为保留、整修、拆除三个类型。</w:t>
      </w:r>
    </w:p>
    <w:p w14:paraId="42E3643C"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（2）风貌管理</w:t>
      </w:r>
    </w:p>
    <w:p w14:paraId="28892545"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①色彩风格指引</w:t>
      </w:r>
    </w:p>
    <w:p w14:paraId="306788E1" w14:textId="77777777" w:rsidR="004F2967" w:rsidRDefault="00000000">
      <w:pPr>
        <w:pStyle w:val="a3"/>
        <w:spacing w:line="360" w:lineRule="auto"/>
        <w:ind w:firstLineChars="200" w:firstLine="470"/>
        <w:jc w:val="both"/>
        <w:rPr>
          <w:spacing w:val="-5"/>
          <w:sz w:val="24"/>
          <w:szCs w:val="24"/>
          <w:lang w:eastAsia="zh-CN"/>
        </w:rPr>
      </w:pPr>
      <w:r>
        <w:rPr>
          <w:rFonts w:hint="eastAsia"/>
          <w:spacing w:val="-5"/>
          <w:sz w:val="24"/>
          <w:szCs w:val="24"/>
          <w:lang w:eastAsia="zh-CN"/>
        </w:rPr>
        <w:t>a.</w:t>
      </w:r>
      <w:r>
        <w:rPr>
          <w:spacing w:val="-5"/>
          <w:sz w:val="24"/>
          <w:szCs w:val="24"/>
          <w:lang w:eastAsia="zh-CN"/>
        </w:rPr>
        <w:t>突出民居建筑的自然美原则</w:t>
      </w:r>
    </w:p>
    <w:p w14:paraId="0EFAFE27"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规划尽可能的保护突出自然色彩，使建筑人工色彩从属于自然色彩、融入自然色彩之中。</w:t>
      </w:r>
    </w:p>
    <w:p w14:paraId="4DF4CC8C" w14:textId="77777777" w:rsidR="004F2967" w:rsidRDefault="00000000">
      <w:pPr>
        <w:pStyle w:val="a3"/>
        <w:spacing w:line="360" w:lineRule="auto"/>
        <w:ind w:firstLineChars="200" w:firstLine="470"/>
        <w:jc w:val="both"/>
        <w:rPr>
          <w:spacing w:val="-5"/>
          <w:sz w:val="24"/>
          <w:szCs w:val="24"/>
        </w:rPr>
      </w:pPr>
      <w:proofErr w:type="spellStart"/>
      <w:r>
        <w:rPr>
          <w:spacing w:val="-5"/>
          <w:sz w:val="24"/>
          <w:szCs w:val="24"/>
        </w:rPr>
        <w:t>b</w:t>
      </w:r>
      <w:r>
        <w:rPr>
          <w:rFonts w:hint="eastAsia"/>
          <w:spacing w:val="-5"/>
          <w:sz w:val="24"/>
          <w:szCs w:val="24"/>
          <w:lang w:eastAsia="zh-CN"/>
        </w:rPr>
        <w:t>.</w:t>
      </w:r>
      <w:r>
        <w:rPr>
          <w:spacing w:val="-5"/>
          <w:sz w:val="24"/>
          <w:szCs w:val="24"/>
        </w:rPr>
        <w:t>突出民居建筑的地方文化特色</w:t>
      </w:r>
      <w:proofErr w:type="spellEnd"/>
    </w:p>
    <w:p w14:paraId="43580168"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lastRenderedPageBreak/>
        <w:t>珍视色彩的地方性，注重本地传统文脉的延续，加强新农村民居建筑的识别性，用合理的色彩规划来体现新农村民居建筑的地方特色和文化气质。建筑选材以传统青砖灰瓦为色彩基调，选取青灰相近色系材质，辅助色系以褐色、浅黄等自然材质为主。</w:t>
      </w:r>
    </w:p>
    <w:p w14:paraId="223AD7DD"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②材质选取指引</w:t>
      </w:r>
    </w:p>
    <w:p w14:paraId="4677EE09"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考虑到当地的普遍做法和村民经济实力，墙体建议以空心砖等新工艺墙</w:t>
      </w:r>
      <w:proofErr w:type="gramStart"/>
      <w:r>
        <w:rPr>
          <w:spacing w:val="-5"/>
          <w:sz w:val="24"/>
          <w:szCs w:val="24"/>
          <w:lang w:eastAsia="zh-CN"/>
        </w:rPr>
        <w:t>体材</w:t>
      </w:r>
      <w:proofErr w:type="gramEnd"/>
      <w:r>
        <w:rPr>
          <w:spacing w:val="-5"/>
          <w:sz w:val="24"/>
          <w:szCs w:val="24"/>
          <w:lang w:eastAsia="zh-CN"/>
        </w:rPr>
        <w:t>料取代普通转，从而降低粘土需求量，降低环境和经济成本。同时保留石料、木材等地方传统建筑材料。屋面材质建议推广水泥</w:t>
      </w:r>
      <w:proofErr w:type="gramStart"/>
      <w:r>
        <w:rPr>
          <w:spacing w:val="-5"/>
          <w:sz w:val="24"/>
          <w:szCs w:val="24"/>
          <w:lang w:eastAsia="zh-CN"/>
        </w:rPr>
        <w:t>类瓦材</w:t>
      </w:r>
      <w:proofErr w:type="gramEnd"/>
      <w:r>
        <w:rPr>
          <w:spacing w:val="-5"/>
          <w:sz w:val="24"/>
          <w:szCs w:val="24"/>
          <w:lang w:eastAsia="zh-CN"/>
        </w:rPr>
        <w:t>等高分子复合</w:t>
      </w:r>
      <w:proofErr w:type="gramStart"/>
      <w:r>
        <w:rPr>
          <w:spacing w:val="-5"/>
          <w:sz w:val="24"/>
          <w:szCs w:val="24"/>
          <w:lang w:eastAsia="zh-CN"/>
        </w:rPr>
        <w:t>瓦材料</w:t>
      </w:r>
      <w:proofErr w:type="gramEnd"/>
      <w:r>
        <w:rPr>
          <w:spacing w:val="-5"/>
          <w:sz w:val="24"/>
          <w:szCs w:val="24"/>
          <w:lang w:eastAsia="zh-CN"/>
        </w:rPr>
        <w:t>逐步取代传统混凝土瓦，从而保护耕地，节约资源。</w:t>
      </w:r>
    </w:p>
    <w:p w14:paraId="01F3A451" w14:textId="77777777" w:rsidR="004F2967" w:rsidRDefault="00000000">
      <w:pPr>
        <w:pStyle w:val="a3"/>
        <w:spacing w:line="360" w:lineRule="auto"/>
        <w:ind w:firstLineChars="200" w:firstLine="550"/>
        <w:jc w:val="both"/>
        <w:rPr>
          <w:b/>
          <w:bCs/>
          <w:spacing w:val="-5"/>
          <w:sz w:val="28"/>
          <w:szCs w:val="28"/>
          <w:lang w:eastAsia="zh-CN"/>
        </w:rPr>
      </w:pPr>
      <w:r>
        <w:rPr>
          <w:rFonts w:hint="eastAsia"/>
          <w:b/>
          <w:bCs/>
          <w:spacing w:val="-5"/>
          <w:sz w:val="28"/>
          <w:szCs w:val="28"/>
          <w:lang w:eastAsia="zh-CN"/>
        </w:rPr>
        <w:t>五、村庄安全和防灾减灾</w:t>
      </w:r>
    </w:p>
    <w:p w14:paraId="7AF3711E"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1）村民的宅基地选址和农房建设须避开自然灾害易发地区。洪涝风险控制线内禁止以下活动：违法违规占用河湖、水库、山塘、蓄滞洪空间和排涝通道等的建筑物、构筑物。影响水系安全的爆破、采石、取土，擅自建设各类排污设施。其他对水系保护构成破坏的活动。</w:t>
      </w:r>
    </w:p>
    <w:p w14:paraId="684786DB"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（2）村庄建筑的间距和通道的设置应符合</w:t>
      </w:r>
      <w:proofErr w:type="gramStart"/>
      <w:r>
        <w:rPr>
          <w:spacing w:val="-5"/>
          <w:sz w:val="24"/>
          <w:szCs w:val="24"/>
          <w:lang w:eastAsia="zh-CN"/>
        </w:rPr>
        <w:t>村庄消防</w:t>
      </w:r>
      <w:proofErr w:type="gramEnd"/>
      <w:r>
        <w:rPr>
          <w:spacing w:val="-5"/>
          <w:sz w:val="24"/>
          <w:szCs w:val="24"/>
          <w:lang w:eastAsia="zh-CN"/>
        </w:rPr>
        <w:t>安全的要求；</w:t>
      </w:r>
      <w:r>
        <w:rPr>
          <w:rFonts w:hint="eastAsia"/>
          <w:spacing w:val="-5"/>
          <w:sz w:val="24"/>
          <w:szCs w:val="24"/>
          <w:lang w:eastAsia="zh-CN"/>
        </w:rPr>
        <w:t>村内的</w:t>
      </w:r>
      <w:r>
        <w:rPr>
          <w:spacing w:val="-5"/>
          <w:sz w:val="24"/>
          <w:szCs w:val="24"/>
          <w:lang w:eastAsia="zh-CN"/>
        </w:rPr>
        <w:t>消防通道，不准长期堆放阻碍交通的杂物。学校、广场等为防灾避险场所，紧急情况下可躲避灾害。</w:t>
      </w:r>
    </w:p>
    <w:p w14:paraId="1B0D732D"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（3）村庄环路兼起消防通道作用，且主要道路宽度不得小于4米。村主干道和次干道作为紧急疏散通道，用于震时疏散和震后救灾，平时应保持道路的畅通</w:t>
      </w:r>
      <w:r>
        <w:rPr>
          <w:rFonts w:hint="eastAsia"/>
          <w:spacing w:val="-5"/>
          <w:sz w:val="24"/>
          <w:szCs w:val="24"/>
          <w:lang w:eastAsia="zh-CN"/>
        </w:rPr>
        <w:t>性</w:t>
      </w:r>
      <w:r>
        <w:rPr>
          <w:spacing w:val="-5"/>
          <w:sz w:val="24"/>
          <w:szCs w:val="24"/>
          <w:lang w:eastAsia="zh-CN"/>
        </w:rPr>
        <w:t>，避免堵塞。</w:t>
      </w:r>
    </w:p>
    <w:p w14:paraId="6E08433C"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（4）结合各个村的实际情况，设立临时疏散和搭建帐篷的空旷用地，如广场、公</w:t>
      </w:r>
      <w:r>
        <w:rPr>
          <w:rFonts w:hint="eastAsia"/>
          <w:spacing w:val="-5"/>
          <w:sz w:val="24"/>
          <w:szCs w:val="24"/>
          <w:lang w:eastAsia="zh-CN"/>
        </w:rPr>
        <w:t>园、绿地、运动场等；设立疏散通道，用于震时疏散和震后救灾；有条件的村庄还可结合高速公路、港口码头等形成完整的疏散体系。</w:t>
      </w:r>
    </w:p>
    <w:p w14:paraId="4E085659" w14:textId="77777777" w:rsidR="004F2967" w:rsidRDefault="00000000">
      <w:pPr>
        <w:pStyle w:val="a3"/>
        <w:spacing w:line="360" w:lineRule="auto"/>
        <w:ind w:firstLineChars="200" w:firstLine="470"/>
        <w:jc w:val="both"/>
        <w:rPr>
          <w:spacing w:val="-5"/>
          <w:sz w:val="24"/>
          <w:szCs w:val="24"/>
          <w:lang w:eastAsia="zh-CN"/>
        </w:rPr>
        <w:sectPr w:rsidR="004F2967">
          <w:pgSz w:w="11907" w:h="16839"/>
          <w:pgMar w:top="1361" w:right="1786" w:bottom="1361" w:left="1785" w:header="0" w:footer="0" w:gutter="0"/>
          <w:cols w:space="720"/>
        </w:sectPr>
      </w:pPr>
      <w:r>
        <w:rPr>
          <w:spacing w:val="-5"/>
          <w:sz w:val="24"/>
          <w:szCs w:val="24"/>
          <w:lang w:eastAsia="zh-CN"/>
        </w:rPr>
        <w:lastRenderedPageBreak/>
        <w:t>（5）新建主要道路利用给水管道设置消火栓，间距不应大于120米，给水规划中应满足消防用水水量的要求，并可利用河湖、池塘、水渠等天然水源解决消防供水，并配备消防泵等消防供水设备，并建设消防取水</w:t>
      </w:r>
      <w:r>
        <w:rPr>
          <w:rFonts w:hint="eastAsia"/>
          <w:spacing w:val="-5"/>
          <w:sz w:val="24"/>
          <w:szCs w:val="24"/>
          <w:lang w:eastAsia="zh-CN"/>
        </w:rPr>
        <w:t>设施。</w:t>
      </w:r>
    </w:p>
    <w:p w14:paraId="30E5706C" w14:textId="77777777" w:rsidR="004F2967" w:rsidRDefault="00000000">
      <w:pPr>
        <w:pStyle w:val="a3"/>
        <w:spacing w:line="360" w:lineRule="auto"/>
        <w:ind w:firstLineChars="200" w:firstLine="550"/>
        <w:jc w:val="both"/>
        <w:rPr>
          <w:b/>
          <w:bCs/>
          <w:spacing w:val="-5"/>
          <w:sz w:val="28"/>
          <w:szCs w:val="28"/>
          <w:lang w:eastAsia="zh-CN"/>
        </w:rPr>
      </w:pPr>
      <w:r>
        <w:rPr>
          <w:rFonts w:hint="eastAsia"/>
          <w:b/>
          <w:bCs/>
          <w:spacing w:val="-5"/>
          <w:sz w:val="28"/>
          <w:szCs w:val="28"/>
          <w:lang w:eastAsia="zh-CN"/>
        </w:rPr>
        <w:lastRenderedPageBreak/>
        <w:t>附则</w:t>
      </w:r>
    </w:p>
    <w:p w14:paraId="6D169BC6"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（1）本通则适用于</w:t>
      </w:r>
      <w:r>
        <w:rPr>
          <w:rFonts w:hint="eastAsia"/>
          <w:spacing w:val="-5"/>
          <w:sz w:val="24"/>
          <w:szCs w:val="24"/>
          <w:lang w:eastAsia="zh-CN"/>
        </w:rPr>
        <w:t>新亨镇</w:t>
      </w:r>
      <w:r>
        <w:rPr>
          <w:spacing w:val="-5"/>
          <w:sz w:val="24"/>
          <w:szCs w:val="24"/>
          <w:lang w:eastAsia="zh-CN"/>
        </w:rPr>
        <w:t>编制“多规合一”实用型村庄规划，作为</w:t>
      </w:r>
      <w:r>
        <w:rPr>
          <w:rFonts w:hint="eastAsia"/>
          <w:spacing w:val="-5"/>
          <w:sz w:val="24"/>
          <w:szCs w:val="24"/>
          <w:lang w:eastAsia="zh-CN"/>
        </w:rPr>
        <w:t>新亨镇</w:t>
      </w:r>
      <w:r>
        <w:rPr>
          <w:spacing w:val="-5"/>
          <w:sz w:val="24"/>
          <w:szCs w:val="24"/>
          <w:lang w:eastAsia="zh-CN"/>
        </w:rPr>
        <w:t>实施国土空间用途管制、核发乡村建设规划许可的依据。已编制多</w:t>
      </w:r>
      <w:proofErr w:type="gramStart"/>
      <w:r>
        <w:rPr>
          <w:spacing w:val="-5"/>
          <w:sz w:val="24"/>
          <w:szCs w:val="24"/>
          <w:lang w:eastAsia="zh-CN"/>
        </w:rPr>
        <w:t>规</w:t>
      </w:r>
      <w:proofErr w:type="gramEnd"/>
      <w:r>
        <w:rPr>
          <w:spacing w:val="-5"/>
          <w:sz w:val="24"/>
          <w:szCs w:val="24"/>
          <w:lang w:eastAsia="zh-CN"/>
        </w:rPr>
        <w:t>合一</w:t>
      </w:r>
      <w:proofErr w:type="gramStart"/>
      <w:r>
        <w:rPr>
          <w:spacing w:val="-5"/>
          <w:sz w:val="24"/>
          <w:szCs w:val="24"/>
          <w:lang w:eastAsia="zh-CN"/>
        </w:rPr>
        <w:t>”</w:t>
      </w:r>
      <w:proofErr w:type="gramEnd"/>
      <w:r>
        <w:rPr>
          <w:spacing w:val="-5"/>
          <w:sz w:val="24"/>
          <w:szCs w:val="24"/>
          <w:lang w:eastAsia="zh-CN"/>
        </w:rPr>
        <w:t>实用型村庄规划的行政村按照村庄规划具体要求进行管控。</w:t>
      </w:r>
    </w:p>
    <w:p w14:paraId="1762F225" w14:textId="77777777" w:rsidR="004F2967" w:rsidRDefault="00000000">
      <w:pPr>
        <w:pStyle w:val="a3"/>
        <w:spacing w:line="360" w:lineRule="auto"/>
        <w:ind w:firstLineChars="200" w:firstLine="470"/>
        <w:jc w:val="both"/>
        <w:rPr>
          <w:spacing w:val="-5"/>
          <w:sz w:val="24"/>
          <w:szCs w:val="24"/>
          <w:lang w:eastAsia="zh-CN"/>
        </w:rPr>
      </w:pPr>
      <w:r>
        <w:rPr>
          <w:spacing w:val="-5"/>
          <w:sz w:val="24"/>
          <w:szCs w:val="24"/>
          <w:lang w:eastAsia="zh-CN"/>
        </w:rPr>
        <w:t>（2）规划实施过程中，底线管控指标、要求根据有关规定调整的，本通则内容随之动态调整。地块指标控制需突破本通则规定的，需由</w:t>
      </w:r>
      <w:r>
        <w:rPr>
          <w:rFonts w:hint="eastAsia"/>
          <w:spacing w:val="-5"/>
          <w:sz w:val="24"/>
          <w:szCs w:val="24"/>
          <w:lang w:eastAsia="zh-CN"/>
        </w:rPr>
        <w:t>区</w:t>
      </w:r>
      <w:r>
        <w:rPr>
          <w:spacing w:val="-5"/>
          <w:sz w:val="24"/>
          <w:szCs w:val="24"/>
          <w:lang w:eastAsia="zh-CN"/>
        </w:rPr>
        <w:t>级自然资源主管部门组织开展地块指标专题论证。</w:t>
      </w:r>
    </w:p>
    <w:p w14:paraId="49F0289E" w14:textId="77777777" w:rsidR="004F2967" w:rsidRDefault="00000000">
      <w:pPr>
        <w:pStyle w:val="a3"/>
        <w:spacing w:line="360" w:lineRule="auto"/>
        <w:ind w:firstLineChars="200" w:firstLine="470"/>
        <w:jc w:val="both"/>
        <w:rPr>
          <w:spacing w:val="-5"/>
          <w:sz w:val="24"/>
          <w:szCs w:val="24"/>
          <w:lang w:eastAsia="zh-CN"/>
        </w:rPr>
        <w:sectPr w:rsidR="004F2967">
          <w:pgSz w:w="11907" w:h="16839"/>
          <w:pgMar w:top="1361" w:right="1786" w:bottom="1361" w:left="1785" w:header="0" w:footer="0" w:gutter="0"/>
          <w:cols w:space="720"/>
        </w:sectPr>
      </w:pPr>
      <w:r>
        <w:rPr>
          <w:spacing w:val="-5"/>
          <w:sz w:val="24"/>
          <w:szCs w:val="24"/>
          <w:lang w:eastAsia="zh-CN"/>
        </w:rPr>
        <w:t>（3）本通则实施后，国家、省、市相关规定有更新修改的，应按国家、</w:t>
      </w:r>
      <w:r>
        <w:rPr>
          <w:rFonts w:hint="eastAsia"/>
          <w:spacing w:val="-5"/>
          <w:sz w:val="24"/>
          <w:szCs w:val="24"/>
          <w:lang w:eastAsia="zh-CN"/>
        </w:rPr>
        <w:t>广东</w:t>
      </w:r>
      <w:r>
        <w:rPr>
          <w:spacing w:val="-5"/>
          <w:sz w:val="24"/>
          <w:szCs w:val="24"/>
          <w:lang w:eastAsia="zh-CN"/>
        </w:rPr>
        <w:t>省、</w:t>
      </w:r>
      <w:r>
        <w:rPr>
          <w:rFonts w:hint="eastAsia"/>
          <w:spacing w:val="-5"/>
          <w:sz w:val="24"/>
          <w:szCs w:val="24"/>
          <w:lang w:eastAsia="zh-CN"/>
        </w:rPr>
        <w:t>揭阳</w:t>
      </w:r>
      <w:proofErr w:type="gramStart"/>
      <w:r>
        <w:rPr>
          <w:spacing w:val="-5"/>
          <w:sz w:val="24"/>
          <w:szCs w:val="24"/>
          <w:lang w:eastAsia="zh-CN"/>
        </w:rPr>
        <w:t>市最新</w:t>
      </w:r>
      <w:proofErr w:type="gramEnd"/>
      <w:r>
        <w:rPr>
          <w:spacing w:val="-5"/>
          <w:sz w:val="24"/>
          <w:szCs w:val="24"/>
          <w:lang w:eastAsia="zh-CN"/>
        </w:rPr>
        <w:t>规定执行。</w:t>
      </w:r>
    </w:p>
    <w:p w14:paraId="1D531190" w14:textId="77777777" w:rsidR="004F2967" w:rsidRDefault="00000000">
      <w:pPr>
        <w:pStyle w:val="a3"/>
        <w:spacing w:line="360" w:lineRule="auto"/>
        <w:jc w:val="center"/>
        <w:rPr>
          <w:b/>
          <w:bCs/>
          <w:spacing w:val="-5"/>
          <w:sz w:val="28"/>
          <w:szCs w:val="28"/>
          <w:lang w:eastAsia="zh-CN"/>
        </w:rPr>
      </w:pPr>
      <w:r>
        <w:rPr>
          <w:rFonts w:hint="eastAsia"/>
          <w:b/>
          <w:bCs/>
          <w:spacing w:val="-5"/>
          <w:sz w:val="28"/>
          <w:szCs w:val="28"/>
          <w:lang w:eastAsia="zh-CN"/>
        </w:rPr>
        <w:lastRenderedPageBreak/>
        <w:t>附件：新亨镇村庄管制分区及开发强度一览表</w:t>
      </w:r>
    </w:p>
    <w:tbl>
      <w:tblPr>
        <w:tblStyle w:val="a5"/>
        <w:tblW w:w="5000" w:type="pct"/>
        <w:tblLayout w:type="fixed"/>
        <w:tblLook w:val="04A0" w:firstRow="1" w:lastRow="0" w:firstColumn="1" w:lastColumn="0" w:noHBand="0" w:noVBand="1"/>
      </w:tblPr>
      <w:tblGrid>
        <w:gridCol w:w="762"/>
        <w:gridCol w:w="4241"/>
        <w:gridCol w:w="1088"/>
        <w:gridCol w:w="973"/>
        <w:gridCol w:w="881"/>
        <w:gridCol w:w="842"/>
        <w:gridCol w:w="1046"/>
      </w:tblGrid>
      <w:tr w:rsidR="004F2967" w14:paraId="24FF63D0" w14:textId="77777777">
        <w:trPr>
          <w:trHeight w:val="1238"/>
        </w:trPr>
        <w:tc>
          <w:tcPr>
            <w:tcW w:w="387" w:type="pct"/>
            <w:vAlign w:val="center"/>
          </w:tcPr>
          <w:p w14:paraId="16D584D3"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用地代码</w:t>
            </w:r>
          </w:p>
        </w:tc>
        <w:tc>
          <w:tcPr>
            <w:tcW w:w="2154" w:type="pct"/>
            <w:vAlign w:val="center"/>
          </w:tcPr>
          <w:p w14:paraId="18555F62"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用地性质</w:t>
            </w:r>
          </w:p>
        </w:tc>
        <w:tc>
          <w:tcPr>
            <w:tcW w:w="552" w:type="pct"/>
            <w:vAlign w:val="center"/>
          </w:tcPr>
          <w:p w14:paraId="1E38E614"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容积率</w:t>
            </w:r>
          </w:p>
        </w:tc>
        <w:tc>
          <w:tcPr>
            <w:tcW w:w="495" w:type="pct"/>
            <w:vAlign w:val="center"/>
          </w:tcPr>
          <w:p w14:paraId="07DF5EF1"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建筑</w:t>
            </w:r>
          </w:p>
          <w:p w14:paraId="1F49F694"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密度</w:t>
            </w:r>
          </w:p>
          <w:p w14:paraId="738559FD"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w:t>
            </w:r>
          </w:p>
        </w:tc>
        <w:tc>
          <w:tcPr>
            <w:tcW w:w="448" w:type="pct"/>
            <w:vAlign w:val="center"/>
          </w:tcPr>
          <w:p w14:paraId="5DDA3106"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绿地率（%）</w:t>
            </w:r>
          </w:p>
        </w:tc>
        <w:tc>
          <w:tcPr>
            <w:tcW w:w="428" w:type="pct"/>
            <w:vAlign w:val="center"/>
          </w:tcPr>
          <w:p w14:paraId="1697A599"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建筑</w:t>
            </w:r>
          </w:p>
          <w:p w14:paraId="52B8A012"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限高</w:t>
            </w:r>
          </w:p>
          <w:p w14:paraId="0FE1A2F1"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（m）</w:t>
            </w:r>
          </w:p>
        </w:tc>
        <w:tc>
          <w:tcPr>
            <w:tcW w:w="531" w:type="pct"/>
            <w:vAlign w:val="center"/>
          </w:tcPr>
          <w:p w14:paraId="5E34A734" w14:textId="77777777" w:rsidR="004F2967" w:rsidRDefault="00000000">
            <w:pPr>
              <w:jc w:val="center"/>
              <w:rPr>
                <w:rFonts w:ascii="微软雅黑" w:eastAsia="微软雅黑" w:hAnsi="微软雅黑" w:cs="微软雅黑"/>
                <w:b/>
                <w:bCs/>
                <w:lang w:eastAsia="zh-CN"/>
              </w:rPr>
            </w:pPr>
            <w:r>
              <w:rPr>
                <w:rFonts w:ascii="微软雅黑" w:eastAsia="微软雅黑" w:hAnsi="微软雅黑" w:cs="微软雅黑" w:hint="eastAsia"/>
                <w:b/>
                <w:bCs/>
                <w:lang w:eastAsia="zh-CN"/>
              </w:rPr>
              <w:t>机动车停车位</w:t>
            </w:r>
          </w:p>
        </w:tc>
      </w:tr>
      <w:tr w:rsidR="004F2967" w14:paraId="56F8C2E1" w14:textId="77777777">
        <w:trPr>
          <w:trHeight w:val="850"/>
        </w:trPr>
        <w:tc>
          <w:tcPr>
            <w:tcW w:w="387" w:type="pct"/>
            <w:vAlign w:val="center"/>
          </w:tcPr>
          <w:p w14:paraId="74A4E7F1"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07</w:t>
            </w:r>
          </w:p>
        </w:tc>
        <w:tc>
          <w:tcPr>
            <w:tcW w:w="2154" w:type="pct"/>
            <w:vAlign w:val="center"/>
          </w:tcPr>
          <w:p w14:paraId="75631065"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居住用地</w:t>
            </w:r>
          </w:p>
          <w:p w14:paraId="7478D8AA"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 xml:space="preserve">（城镇住宅用地、城镇社区服务 </w:t>
            </w:r>
          </w:p>
          <w:p w14:paraId="5B1CFA33"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设施用地、农村宅基地、农村社区服务设施用地）</w:t>
            </w:r>
          </w:p>
        </w:tc>
        <w:tc>
          <w:tcPr>
            <w:tcW w:w="552" w:type="pct"/>
            <w:vAlign w:val="center"/>
          </w:tcPr>
          <w:p w14:paraId="01B76DE4"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 xml:space="preserve">≤5.0 </w:t>
            </w:r>
          </w:p>
        </w:tc>
        <w:tc>
          <w:tcPr>
            <w:tcW w:w="495" w:type="pct"/>
            <w:vAlign w:val="center"/>
          </w:tcPr>
          <w:p w14:paraId="74FF84DD" w14:textId="77777777" w:rsidR="004F2967" w:rsidRDefault="004F2967">
            <w:pPr>
              <w:jc w:val="center"/>
              <w:rPr>
                <w:rFonts w:ascii="微软雅黑" w:eastAsia="微软雅黑" w:hAnsi="微软雅黑" w:cs="微软雅黑"/>
                <w:lang w:eastAsia="zh-CN"/>
              </w:rPr>
            </w:pPr>
          </w:p>
          <w:p w14:paraId="0999059B"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≤40</w:t>
            </w:r>
          </w:p>
          <w:p w14:paraId="4E78C454" w14:textId="77777777" w:rsidR="004F2967" w:rsidRDefault="004F2967">
            <w:pPr>
              <w:jc w:val="center"/>
              <w:rPr>
                <w:rFonts w:ascii="微软雅黑" w:eastAsia="微软雅黑" w:hAnsi="微软雅黑" w:cs="微软雅黑"/>
                <w:lang w:eastAsia="zh-CN"/>
              </w:rPr>
            </w:pPr>
          </w:p>
        </w:tc>
        <w:tc>
          <w:tcPr>
            <w:tcW w:w="448" w:type="pct"/>
            <w:vAlign w:val="center"/>
          </w:tcPr>
          <w:p w14:paraId="0A10AD20" w14:textId="77777777" w:rsidR="004F2967" w:rsidRDefault="004F2967">
            <w:pPr>
              <w:jc w:val="center"/>
              <w:rPr>
                <w:rFonts w:ascii="微软雅黑" w:eastAsia="微软雅黑" w:hAnsi="微软雅黑" w:cs="微软雅黑"/>
                <w:lang w:eastAsia="zh-CN"/>
              </w:rPr>
            </w:pPr>
          </w:p>
          <w:p w14:paraId="3CCE599A"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≥20</w:t>
            </w:r>
          </w:p>
          <w:p w14:paraId="53502C88" w14:textId="77777777" w:rsidR="004F2967" w:rsidRDefault="004F2967">
            <w:pPr>
              <w:jc w:val="center"/>
              <w:rPr>
                <w:rFonts w:ascii="微软雅黑" w:eastAsia="微软雅黑" w:hAnsi="微软雅黑" w:cs="微软雅黑"/>
                <w:lang w:eastAsia="zh-CN"/>
              </w:rPr>
            </w:pPr>
          </w:p>
        </w:tc>
        <w:tc>
          <w:tcPr>
            <w:tcW w:w="428" w:type="pct"/>
            <w:vAlign w:val="center"/>
          </w:tcPr>
          <w:p w14:paraId="45C9311A" w14:textId="77777777" w:rsidR="004F2967" w:rsidRDefault="004F2967">
            <w:pPr>
              <w:jc w:val="center"/>
              <w:rPr>
                <w:rFonts w:ascii="微软雅黑" w:eastAsia="微软雅黑" w:hAnsi="微软雅黑" w:cs="微软雅黑"/>
                <w:lang w:eastAsia="zh-CN"/>
              </w:rPr>
            </w:pPr>
          </w:p>
          <w:p w14:paraId="526D882A"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≤80</w:t>
            </w:r>
          </w:p>
          <w:p w14:paraId="4F0D854E" w14:textId="77777777" w:rsidR="004F2967" w:rsidRDefault="004F2967">
            <w:pPr>
              <w:jc w:val="center"/>
              <w:rPr>
                <w:rFonts w:ascii="微软雅黑" w:eastAsia="微软雅黑" w:hAnsi="微软雅黑" w:cs="微软雅黑"/>
                <w:lang w:eastAsia="zh-CN"/>
              </w:rPr>
            </w:pPr>
          </w:p>
        </w:tc>
        <w:tc>
          <w:tcPr>
            <w:tcW w:w="531" w:type="pct"/>
            <w:vAlign w:val="center"/>
          </w:tcPr>
          <w:p w14:paraId="54BFD734"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0.8-</w:t>
            </w:r>
          </w:p>
          <w:p w14:paraId="5EAFC5DF"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 xml:space="preserve">1.3 </w:t>
            </w:r>
            <w:proofErr w:type="gramStart"/>
            <w:r>
              <w:rPr>
                <w:rFonts w:ascii="微软雅黑" w:eastAsia="微软雅黑" w:hAnsi="微软雅黑" w:cs="微软雅黑" w:hint="eastAsia"/>
                <w:lang w:eastAsia="zh-CN"/>
              </w:rPr>
              <w:t>个</w:t>
            </w:r>
            <w:proofErr w:type="gramEnd"/>
            <w:r>
              <w:rPr>
                <w:rFonts w:ascii="微软雅黑" w:eastAsia="微软雅黑" w:hAnsi="微软雅黑" w:cs="微软雅黑" w:hint="eastAsia"/>
                <w:lang w:eastAsia="zh-CN"/>
              </w:rPr>
              <w:t>/</w:t>
            </w:r>
          </w:p>
          <w:p w14:paraId="1846F001"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户</w:t>
            </w:r>
          </w:p>
          <w:p w14:paraId="747210BB" w14:textId="77777777" w:rsidR="004F2967" w:rsidRDefault="004F2967">
            <w:pPr>
              <w:jc w:val="center"/>
              <w:rPr>
                <w:rFonts w:ascii="微软雅黑" w:eastAsia="微软雅黑" w:hAnsi="微软雅黑" w:cs="微软雅黑"/>
                <w:lang w:eastAsia="zh-CN"/>
              </w:rPr>
            </w:pPr>
          </w:p>
        </w:tc>
      </w:tr>
      <w:tr w:rsidR="004F2967" w14:paraId="76CFFDD2" w14:textId="77777777">
        <w:trPr>
          <w:trHeight w:val="1644"/>
        </w:trPr>
        <w:tc>
          <w:tcPr>
            <w:tcW w:w="387" w:type="pct"/>
            <w:vAlign w:val="center"/>
          </w:tcPr>
          <w:p w14:paraId="20590FC7"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08</w:t>
            </w:r>
          </w:p>
        </w:tc>
        <w:tc>
          <w:tcPr>
            <w:tcW w:w="2154" w:type="pct"/>
            <w:vAlign w:val="center"/>
          </w:tcPr>
          <w:p w14:paraId="13BEF733"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公共管理与公共服务用地</w:t>
            </w:r>
          </w:p>
          <w:p w14:paraId="201E11F5"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（机关团体用地、科研用地、文化用地、</w:t>
            </w:r>
          </w:p>
          <w:p w14:paraId="3CA3A0D9" w14:textId="77777777" w:rsidR="004F2967" w:rsidRDefault="00000000">
            <w:pPr>
              <w:widowControl/>
              <w:jc w:val="center"/>
              <w:rPr>
                <w:rFonts w:ascii="微软雅黑" w:eastAsia="微软雅黑" w:hAnsi="微软雅黑" w:cs="微软雅黑"/>
                <w:lang w:eastAsia="zh-CN"/>
              </w:rPr>
            </w:pPr>
            <w:r>
              <w:rPr>
                <w:rFonts w:ascii="微软雅黑" w:eastAsia="微软雅黑" w:hAnsi="微软雅黑" w:cs="微软雅黑" w:hint="eastAsia"/>
                <w:lang w:eastAsia="zh-CN"/>
              </w:rPr>
              <w:t>教育用地、体育用地、医疗卫生用地、</w:t>
            </w:r>
          </w:p>
          <w:p w14:paraId="6C5E6B30"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社会福利用地）</w:t>
            </w:r>
          </w:p>
        </w:tc>
        <w:tc>
          <w:tcPr>
            <w:tcW w:w="552" w:type="pct"/>
            <w:vAlign w:val="center"/>
          </w:tcPr>
          <w:p w14:paraId="7D42FFC7"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2.5</w:t>
            </w:r>
          </w:p>
        </w:tc>
        <w:tc>
          <w:tcPr>
            <w:tcW w:w="495" w:type="pct"/>
            <w:shd w:val="clear" w:color="auto" w:fill="auto"/>
            <w:vAlign w:val="center"/>
          </w:tcPr>
          <w:p w14:paraId="0E5B7280"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w:t>
            </w:r>
          </w:p>
        </w:tc>
        <w:tc>
          <w:tcPr>
            <w:tcW w:w="448" w:type="pct"/>
            <w:shd w:val="clear" w:color="auto" w:fill="auto"/>
            <w:vAlign w:val="center"/>
          </w:tcPr>
          <w:p w14:paraId="6544600E"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w:t>
            </w:r>
          </w:p>
        </w:tc>
        <w:tc>
          <w:tcPr>
            <w:tcW w:w="428" w:type="pct"/>
            <w:shd w:val="clear" w:color="auto" w:fill="auto"/>
            <w:vAlign w:val="center"/>
          </w:tcPr>
          <w:p w14:paraId="0B25E4D6"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w:t>
            </w:r>
          </w:p>
        </w:tc>
        <w:tc>
          <w:tcPr>
            <w:tcW w:w="531" w:type="pct"/>
            <w:vAlign w:val="center"/>
          </w:tcPr>
          <w:p w14:paraId="47C8A0DC"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w:t>
            </w:r>
          </w:p>
        </w:tc>
      </w:tr>
      <w:tr w:rsidR="004F2967" w14:paraId="78C91575" w14:textId="77777777">
        <w:tc>
          <w:tcPr>
            <w:tcW w:w="387" w:type="pct"/>
            <w:vAlign w:val="center"/>
          </w:tcPr>
          <w:p w14:paraId="244962B1"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09</w:t>
            </w:r>
          </w:p>
        </w:tc>
        <w:tc>
          <w:tcPr>
            <w:tcW w:w="2154" w:type="pct"/>
            <w:vAlign w:val="center"/>
          </w:tcPr>
          <w:p w14:paraId="2E5BEE74" w14:textId="77777777" w:rsidR="004F2967" w:rsidRDefault="00000000">
            <w:pPr>
              <w:widowControl/>
              <w:jc w:val="center"/>
              <w:rPr>
                <w:rFonts w:ascii="微软雅黑" w:eastAsia="微软雅黑" w:hAnsi="微软雅黑" w:cs="微软雅黑"/>
                <w:lang w:eastAsia="zh-CN"/>
              </w:rPr>
            </w:pPr>
            <w:r>
              <w:rPr>
                <w:rFonts w:ascii="微软雅黑" w:eastAsia="微软雅黑" w:hAnsi="微软雅黑" w:cs="微软雅黑" w:hint="eastAsia"/>
                <w:lang w:eastAsia="zh-CN" w:bidi="ar"/>
              </w:rPr>
              <w:t>商业服务业用地</w:t>
            </w:r>
          </w:p>
          <w:p w14:paraId="17D79CED"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（商业用地、商务金融用地娱乐用地、</w:t>
            </w:r>
          </w:p>
          <w:p w14:paraId="45AC0032" w14:textId="77777777" w:rsidR="004F2967" w:rsidRDefault="00000000">
            <w:pPr>
              <w:widowControl/>
              <w:jc w:val="center"/>
              <w:rPr>
                <w:rFonts w:ascii="微软雅黑" w:eastAsia="微软雅黑" w:hAnsi="微软雅黑" w:cs="微软雅黑"/>
                <w:lang w:eastAsia="zh-CN"/>
              </w:rPr>
            </w:pPr>
            <w:r>
              <w:rPr>
                <w:rFonts w:ascii="微软雅黑" w:eastAsia="微软雅黑" w:hAnsi="微软雅黑" w:cs="微软雅黑" w:hint="eastAsia"/>
                <w:lang w:eastAsia="zh-CN" w:bidi="ar"/>
              </w:rPr>
              <w:t>其他商业服务业用地）</w:t>
            </w:r>
          </w:p>
        </w:tc>
        <w:tc>
          <w:tcPr>
            <w:tcW w:w="552" w:type="pct"/>
            <w:vAlign w:val="center"/>
          </w:tcPr>
          <w:p w14:paraId="72905EAB"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3.5</w:t>
            </w:r>
          </w:p>
        </w:tc>
        <w:tc>
          <w:tcPr>
            <w:tcW w:w="495" w:type="pct"/>
            <w:vAlign w:val="center"/>
          </w:tcPr>
          <w:p w14:paraId="278CC487"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50</w:t>
            </w:r>
          </w:p>
        </w:tc>
        <w:tc>
          <w:tcPr>
            <w:tcW w:w="448" w:type="pct"/>
            <w:vAlign w:val="center"/>
          </w:tcPr>
          <w:p w14:paraId="5E5C3300"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20</w:t>
            </w:r>
          </w:p>
        </w:tc>
        <w:tc>
          <w:tcPr>
            <w:tcW w:w="428" w:type="pct"/>
            <w:vAlign w:val="center"/>
          </w:tcPr>
          <w:p w14:paraId="121D7D8A"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80</w:t>
            </w:r>
          </w:p>
        </w:tc>
        <w:tc>
          <w:tcPr>
            <w:tcW w:w="531" w:type="pct"/>
            <w:vAlign w:val="center"/>
          </w:tcPr>
          <w:p w14:paraId="1065D840"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100㎡</w:t>
            </w:r>
          </w:p>
          <w:p w14:paraId="2E25BCCF" w14:textId="77777777" w:rsidR="004F2967" w:rsidRDefault="00000000">
            <w:pPr>
              <w:widowControl/>
              <w:jc w:val="center"/>
              <w:rPr>
                <w:rFonts w:ascii="微软雅黑" w:eastAsia="微软雅黑" w:hAnsi="微软雅黑" w:cs="微软雅黑"/>
              </w:rPr>
            </w:pPr>
            <w:r>
              <w:rPr>
                <w:rFonts w:ascii="微软雅黑" w:eastAsia="微软雅黑" w:hAnsi="微软雅黑" w:cs="微软雅黑" w:hint="eastAsia"/>
                <w:lang w:eastAsia="zh-CN" w:bidi="ar"/>
              </w:rPr>
              <w:t>建筑面积/1个</w:t>
            </w:r>
          </w:p>
        </w:tc>
      </w:tr>
      <w:tr w:rsidR="004F2967" w14:paraId="447A1F4D" w14:textId="77777777">
        <w:trPr>
          <w:trHeight w:val="850"/>
        </w:trPr>
        <w:tc>
          <w:tcPr>
            <w:tcW w:w="387" w:type="pct"/>
            <w:vAlign w:val="center"/>
          </w:tcPr>
          <w:p w14:paraId="5549158D"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1001</w:t>
            </w:r>
          </w:p>
        </w:tc>
        <w:tc>
          <w:tcPr>
            <w:tcW w:w="2154" w:type="pct"/>
            <w:vAlign w:val="center"/>
          </w:tcPr>
          <w:p w14:paraId="6FCC995D"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工业用地</w:t>
            </w:r>
          </w:p>
        </w:tc>
        <w:tc>
          <w:tcPr>
            <w:tcW w:w="552" w:type="pct"/>
            <w:vAlign w:val="center"/>
          </w:tcPr>
          <w:p w14:paraId="17246825"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0.8-4.0</w:t>
            </w:r>
          </w:p>
        </w:tc>
        <w:tc>
          <w:tcPr>
            <w:tcW w:w="495" w:type="pct"/>
            <w:shd w:val="clear" w:color="auto" w:fill="auto"/>
            <w:vAlign w:val="center"/>
          </w:tcPr>
          <w:p w14:paraId="6ABC0185"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≥30</w:t>
            </w:r>
          </w:p>
        </w:tc>
        <w:tc>
          <w:tcPr>
            <w:tcW w:w="448" w:type="pct"/>
            <w:shd w:val="clear" w:color="auto" w:fill="auto"/>
            <w:vAlign w:val="center"/>
          </w:tcPr>
          <w:p w14:paraId="4993405B"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20</w:t>
            </w:r>
          </w:p>
        </w:tc>
        <w:tc>
          <w:tcPr>
            <w:tcW w:w="428" w:type="pct"/>
            <w:shd w:val="clear" w:color="auto" w:fill="auto"/>
            <w:vAlign w:val="center"/>
          </w:tcPr>
          <w:p w14:paraId="3118B242"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60</w:t>
            </w:r>
          </w:p>
        </w:tc>
        <w:tc>
          <w:tcPr>
            <w:tcW w:w="531" w:type="pct"/>
            <w:vAlign w:val="center"/>
          </w:tcPr>
          <w:p w14:paraId="1B7B6798"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按需</w:t>
            </w:r>
          </w:p>
          <w:p w14:paraId="6841EEFC"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设置</w:t>
            </w:r>
          </w:p>
        </w:tc>
      </w:tr>
      <w:tr w:rsidR="004F2967" w14:paraId="4944737A" w14:textId="77777777">
        <w:trPr>
          <w:trHeight w:val="850"/>
        </w:trPr>
        <w:tc>
          <w:tcPr>
            <w:tcW w:w="387" w:type="pct"/>
            <w:vAlign w:val="center"/>
          </w:tcPr>
          <w:p w14:paraId="1C0F9A14"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1101</w:t>
            </w:r>
          </w:p>
        </w:tc>
        <w:tc>
          <w:tcPr>
            <w:tcW w:w="2154" w:type="pct"/>
            <w:vAlign w:val="center"/>
          </w:tcPr>
          <w:p w14:paraId="1D96A139"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物流仓储用地</w:t>
            </w:r>
          </w:p>
        </w:tc>
        <w:tc>
          <w:tcPr>
            <w:tcW w:w="552" w:type="pct"/>
            <w:shd w:val="clear" w:color="auto" w:fill="auto"/>
            <w:vAlign w:val="center"/>
          </w:tcPr>
          <w:p w14:paraId="36B3C4C6"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3.5</w:t>
            </w:r>
          </w:p>
        </w:tc>
        <w:tc>
          <w:tcPr>
            <w:tcW w:w="495" w:type="pct"/>
            <w:shd w:val="clear" w:color="auto" w:fill="auto"/>
            <w:vAlign w:val="center"/>
          </w:tcPr>
          <w:p w14:paraId="2990BB32"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≥10</w:t>
            </w:r>
          </w:p>
        </w:tc>
        <w:tc>
          <w:tcPr>
            <w:tcW w:w="448" w:type="pct"/>
            <w:shd w:val="clear" w:color="auto" w:fill="auto"/>
            <w:vAlign w:val="center"/>
          </w:tcPr>
          <w:p w14:paraId="306A29C8"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20</w:t>
            </w:r>
          </w:p>
        </w:tc>
        <w:tc>
          <w:tcPr>
            <w:tcW w:w="428" w:type="pct"/>
            <w:shd w:val="clear" w:color="auto" w:fill="auto"/>
            <w:vAlign w:val="center"/>
          </w:tcPr>
          <w:p w14:paraId="73D1B578"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60</w:t>
            </w:r>
          </w:p>
        </w:tc>
        <w:tc>
          <w:tcPr>
            <w:tcW w:w="531" w:type="pct"/>
            <w:shd w:val="clear" w:color="auto" w:fill="auto"/>
            <w:vAlign w:val="center"/>
          </w:tcPr>
          <w:p w14:paraId="4F2BB84D"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按需</w:t>
            </w:r>
          </w:p>
          <w:p w14:paraId="5B4A379D"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设置</w:t>
            </w:r>
          </w:p>
        </w:tc>
      </w:tr>
      <w:tr w:rsidR="004F2967" w14:paraId="70A88E00" w14:textId="77777777">
        <w:trPr>
          <w:trHeight w:val="2268"/>
        </w:trPr>
        <w:tc>
          <w:tcPr>
            <w:tcW w:w="387" w:type="pct"/>
            <w:vAlign w:val="center"/>
          </w:tcPr>
          <w:p w14:paraId="620EE94F"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13</w:t>
            </w:r>
          </w:p>
        </w:tc>
        <w:tc>
          <w:tcPr>
            <w:tcW w:w="2154" w:type="pct"/>
            <w:vAlign w:val="center"/>
          </w:tcPr>
          <w:p w14:paraId="71195B4E" w14:textId="77777777" w:rsidR="004F2967" w:rsidRDefault="00000000">
            <w:pPr>
              <w:widowControl/>
              <w:jc w:val="center"/>
              <w:rPr>
                <w:rFonts w:ascii="微软雅黑" w:eastAsia="微软雅黑" w:hAnsi="微软雅黑" w:cs="微软雅黑"/>
                <w:lang w:eastAsia="zh-CN"/>
              </w:rPr>
            </w:pPr>
            <w:r>
              <w:rPr>
                <w:rFonts w:ascii="微软雅黑" w:eastAsia="微软雅黑" w:hAnsi="微软雅黑" w:cs="微软雅黑" w:hint="eastAsia"/>
                <w:lang w:eastAsia="zh-CN" w:bidi="ar"/>
              </w:rPr>
              <w:t>公用设施用地</w:t>
            </w:r>
          </w:p>
          <w:p w14:paraId="74D0B6D8"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（供水用地、排水用地、供电用地、</w:t>
            </w:r>
          </w:p>
          <w:p w14:paraId="060371E3"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供燃气用地、供热用地、通信用地、</w:t>
            </w:r>
          </w:p>
          <w:p w14:paraId="4D34B6DB"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邮政用地、广播电视设施用地、环卫用地、消防用地、水工设施用地、</w:t>
            </w:r>
          </w:p>
          <w:p w14:paraId="7A57BB88" w14:textId="77777777" w:rsidR="004F2967" w:rsidRDefault="00000000">
            <w:pPr>
              <w:widowControl/>
              <w:jc w:val="center"/>
              <w:rPr>
                <w:rFonts w:ascii="微软雅黑" w:eastAsia="微软雅黑" w:hAnsi="微软雅黑" w:cs="微软雅黑"/>
              </w:rPr>
            </w:pPr>
            <w:r>
              <w:rPr>
                <w:rFonts w:ascii="微软雅黑" w:eastAsia="微软雅黑" w:hAnsi="微软雅黑" w:cs="微软雅黑" w:hint="eastAsia"/>
                <w:lang w:eastAsia="zh-CN" w:bidi="ar"/>
              </w:rPr>
              <w:t>其他公用设施用地）</w:t>
            </w:r>
          </w:p>
        </w:tc>
        <w:tc>
          <w:tcPr>
            <w:tcW w:w="552" w:type="pct"/>
            <w:vAlign w:val="center"/>
          </w:tcPr>
          <w:p w14:paraId="12C257A8"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rPr>
              <w:t>≤</w:t>
            </w:r>
            <w:r>
              <w:rPr>
                <w:rFonts w:ascii="微软雅黑" w:eastAsia="微软雅黑" w:hAnsi="微软雅黑" w:cs="微软雅黑" w:hint="eastAsia"/>
                <w:lang w:eastAsia="zh-CN"/>
              </w:rPr>
              <w:t>2.0</w:t>
            </w:r>
          </w:p>
        </w:tc>
        <w:tc>
          <w:tcPr>
            <w:tcW w:w="495" w:type="pct"/>
            <w:shd w:val="clear" w:color="auto" w:fill="auto"/>
            <w:vAlign w:val="center"/>
          </w:tcPr>
          <w:p w14:paraId="44A97643"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w:t>
            </w:r>
          </w:p>
        </w:tc>
        <w:tc>
          <w:tcPr>
            <w:tcW w:w="448" w:type="pct"/>
            <w:shd w:val="clear" w:color="auto" w:fill="auto"/>
            <w:vAlign w:val="center"/>
          </w:tcPr>
          <w:p w14:paraId="342AC4F4"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w:t>
            </w:r>
          </w:p>
        </w:tc>
        <w:tc>
          <w:tcPr>
            <w:tcW w:w="428" w:type="pct"/>
            <w:shd w:val="clear" w:color="auto" w:fill="auto"/>
            <w:vAlign w:val="center"/>
          </w:tcPr>
          <w:p w14:paraId="67D28B98"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w:t>
            </w:r>
          </w:p>
        </w:tc>
        <w:tc>
          <w:tcPr>
            <w:tcW w:w="531" w:type="pct"/>
            <w:shd w:val="clear" w:color="auto" w:fill="auto"/>
            <w:vAlign w:val="center"/>
          </w:tcPr>
          <w:p w14:paraId="134246F3" w14:textId="77777777" w:rsidR="004F2967" w:rsidRDefault="00000000">
            <w:pPr>
              <w:jc w:val="center"/>
              <w:rPr>
                <w:rFonts w:ascii="微软雅黑" w:eastAsia="微软雅黑" w:hAnsi="微软雅黑" w:cs="微软雅黑"/>
              </w:rPr>
            </w:pPr>
            <w:r>
              <w:rPr>
                <w:rFonts w:ascii="微软雅黑" w:eastAsia="微软雅黑" w:hAnsi="微软雅黑" w:cs="微软雅黑" w:hint="eastAsia"/>
                <w:lang w:eastAsia="zh-CN"/>
              </w:rPr>
              <w:t>——</w:t>
            </w:r>
          </w:p>
        </w:tc>
      </w:tr>
      <w:tr w:rsidR="004F2967" w14:paraId="1BE34BB7" w14:textId="77777777">
        <w:trPr>
          <w:trHeight w:val="567"/>
        </w:trPr>
        <w:tc>
          <w:tcPr>
            <w:tcW w:w="387" w:type="pct"/>
            <w:vAlign w:val="center"/>
          </w:tcPr>
          <w:p w14:paraId="0D5C78E9"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1401</w:t>
            </w:r>
          </w:p>
        </w:tc>
        <w:tc>
          <w:tcPr>
            <w:tcW w:w="2154" w:type="pct"/>
            <w:vAlign w:val="center"/>
          </w:tcPr>
          <w:p w14:paraId="2F972D21"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公园绿地</w:t>
            </w:r>
          </w:p>
        </w:tc>
        <w:tc>
          <w:tcPr>
            <w:tcW w:w="552" w:type="pct"/>
            <w:shd w:val="clear" w:color="auto" w:fill="auto"/>
            <w:vAlign w:val="center"/>
          </w:tcPr>
          <w:p w14:paraId="55AB2474" w14:textId="77777777" w:rsidR="004F2967" w:rsidRDefault="004F2967">
            <w:pPr>
              <w:jc w:val="center"/>
              <w:rPr>
                <w:rFonts w:ascii="微软雅黑" w:eastAsia="微软雅黑" w:hAnsi="微软雅黑" w:cs="微软雅黑"/>
                <w:lang w:eastAsia="zh-CN"/>
              </w:rPr>
            </w:pPr>
          </w:p>
          <w:p w14:paraId="21A24B56"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≤0.1</w:t>
            </w:r>
          </w:p>
          <w:p w14:paraId="6A30E9DF" w14:textId="77777777" w:rsidR="004F2967" w:rsidRDefault="004F2967">
            <w:pPr>
              <w:jc w:val="center"/>
              <w:rPr>
                <w:rFonts w:ascii="微软雅黑" w:eastAsia="微软雅黑" w:hAnsi="微软雅黑" w:cs="微软雅黑"/>
                <w:lang w:eastAsia="zh-CN"/>
              </w:rPr>
            </w:pPr>
          </w:p>
        </w:tc>
        <w:tc>
          <w:tcPr>
            <w:tcW w:w="495" w:type="pct"/>
            <w:shd w:val="clear" w:color="auto" w:fill="auto"/>
            <w:vAlign w:val="center"/>
          </w:tcPr>
          <w:p w14:paraId="718902B9" w14:textId="77777777" w:rsidR="004F2967" w:rsidRDefault="004F2967">
            <w:pPr>
              <w:jc w:val="center"/>
              <w:rPr>
                <w:rFonts w:ascii="微软雅黑" w:eastAsia="微软雅黑" w:hAnsi="微软雅黑" w:cs="微软雅黑"/>
                <w:lang w:eastAsia="zh-CN"/>
              </w:rPr>
            </w:pPr>
          </w:p>
          <w:p w14:paraId="303A76EF"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≤10</w:t>
            </w:r>
          </w:p>
          <w:p w14:paraId="4DF16EE3" w14:textId="77777777" w:rsidR="004F2967" w:rsidRDefault="004F2967">
            <w:pPr>
              <w:jc w:val="center"/>
              <w:rPr>
                <w:rFonts w:ascii="微软雅黑" w:eastAsia="微软雅黑" w:hAnsi="微软雅黑" w:cs="微软雅黑"/>
                <w:lang w:eastAsia="zh-CN"/>
              </w:rPr>
            </w:pPr>
          </w:p>
        </w:tc>
        <w:tc>
          <w:tcPr>
            <w:tcW w:w="448" w:type="pct"/>
            <w:vAlign w:val="center"/>
          </w:tcPr>
          <w:p w14:paraId="4237DFEB"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≥90</w:t>
            </w:r>
          </w:p>
        </w:tc>
        <w:tc>
          <w:tcPr>
            <w:tcW w:w="428" w:type="pct"/>
            <w:shd w:val="clear" w:color="auto" w:fill="auto"/>
            <w:vAlign w:val="center"/>
          </w:tcPr>
          <w:p w14:paraId="749611F6" w14:textId="77777777" w:rsidR="004F2967" w:rsidRDefault="004F2967">
            <w:pPr>
              <w:widowControl/>
              <w:jc w:val="center"/>
              <w:rPr>
                <w:rFonts w:ascii="微软雅黑" w:eastAsia="微软雅黑" w:hAnsi="微软雅黑" w:cs="微软雅黑"/>
                <w:lang w:eastAsia="zh-CN"/>
              </w:rPr>
            </w:pPr>
          </w:p>
          <w:p w14:paraId="3C3BF12B" w14:textId="77777777" w:rsidR="004F2967" w:rsidRDefault="00000000">
            <w:pPr>
              <w:widowControl/>
              <w:jc w:val="center"/>
              <w:rPr>
                <w:rFonts w:ascii="微软雅黑" w:eastAsia="微软雅黑" w:hAnsi="微软雅黑" w:cs="微软雅黑"/>
                <w:lang w:eastAsia="zh-CN"/>
              </w:rPr>
            </w:pPr>
            <w:r>
              <w:rPr>
                <w:rFonts w:ascii="微软雅黑" w:eastAsia="微软雅黑" w:hAnsi="微软雅黑" w:cs="微软雅黑" w:hint="eastAsia"/>
                <w:lang w:eastAsia="zh-CN"/>
              </w:rPr>
              <w:t>≤15</w:t>
            </w:r>
          </w:p>
          <w:p w14:paraId="629FE08D" w14:textId="77777777" w:rsidR="004F2967" w:rsidRDefault="004F2967">
            <w:pPr>
              <w:jc w:val="center"/>
              <w:rPr>
                <w:rFonts w:ascii="微软雅黑" w:eastAsia="微软雅黑" w:hAnsi="微软雅黑" w:cs="微软雅黑"/>
                <w:lang w:eastAsia="zh-CN"/>
              </w:rPr>
            </w:pPr>
          </w:p>
        </w:tc>
        <w:tc>
          <w:tcPr>
            <w:tcW w:w="531" w:type="pct"/>
            <w:shd w:val="clear" w:color="auto" w:fill="auto"/>
            <w:vAlign w:val="center"/>
          </w:tcPr>
          <w:p w14:paraId="2A766A93"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w:t>
            </w:r>
          </w:p>
        </w:tc>
      </w:tr>
      <w:tr w:rsidR="004F2967" w14:paraId="7CA038FD" w14:textId="77777777">
        <w:trPr>
          <w:trHeight w:val="567"/>
        </w:trPr>
        <w:tc>
          <w:tcPr>
            <w:tcW w:w="387" w:type="pct"/>
            <w:vAlign w:val="center"/>
          </w:tcPr>
          <w:p w14:paraId="79DC7BCD" w14:textId="77777777" w:rsidR="004F2967" w:rsidRDefault="004F2967">
            <w:pPr>
              <w:jc w:val="center"/>
              <w:rPr>
                <w:rFonts w:ascii="微软雅黑" w:eastAsia="微软雅黑" w:hAnsi="微软雅黑" w:cs="微软雅黑"/>
                <w:lang w:eastAsia="zh-CN"/>
              </w:rPr>
            </w:pPr>
          </w:p>
          <w:p w14:paraId="1A865CE3" w14:textId="77777777" w:rsidR="004F2967" w:rsidRDefault="00000000">
            <w:pPr>
              <w:jc w:val="center"/>
              <w:rPr>
                <w:rFonts w:ascii="微软雅黑" w:eastAsia="微软雅黑" w:hAnsi="微软雅黑" w:cs="微软雅黑"/>
                <w:lang w:eastAsia="zh-CN"/>
              </w:rPr>
            </w:pPr>
            <w:r>
              <w:rPr>
                <w:rFonts w:ascii="微软雅黑" w:eastAsia="微软雅黑" w:hAnsi="微软雅黑" w:cs="微软雅黑" w:hint="eastAsia"/>
                <w:lang w:eastAsia="zh-CN"/>
              </w:rPr>
              <w:t>1506</w:t>
            </w:r>
          </w:p>
          <w:p w14:paraId="2FA63C38" w14:textId="77777777" w:rsidR="004F2967" w:rsidRDefault="004F2967">
            <w:pPr>
              <w:jc w:val="center"/>
              <w:rPr>
                <w:rFonts w:ascii="微软雅黑" w:eastAsia="微软雅黑" w:hAnsi="微软雅黑" w:cs="微软雅黑"/>
                <w:lang w:eastAsia="zh-CN"/>
              </w:rPr>
            </w:pPr>
          </w:p>
        </w:tc>
        <w:tc>
          <w:tcPr>
            <w:tcW w:w="2154" w:type="pct"/>
            <w:vAlign w:val="center"/>
          </w:tcPr>
          <w:p w14:paraId="1760FC53"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殡葬用地</w:t>
            </w:r>
          </w:p>
          <w:p w14:paraId="7EBCB6AB" w14:textId="77777777" w:rsidR="004F2967" w:rsidRDefault="004F2967">
            <w:pPr>
              <w:widowControl/>
              <w:jc w:val="center"/>
              <w:rPr>
                <w:rFonts w:ascii="微软雅黑" w:eastAsia="微软雅黑" w:hAnsi="微软雅黑" w:cs="微软雅黑"/>
                <w:lang w:eastAsia="zh-CN"/>
              </w:rPr>
            </w:pPr>
          </w:p>
        </w:tc>
        <w:tc>
          <w:tcPr>
            <w:tcW w:w="552" w:type="pct"/>
            <w:shd w:val="clear" w:color="auto" w:fill="auto"/>
            <w:vAlign w:val="center"/>
          </w:tcPr>
          <w:p w14:paraId="28B8B901" w14:textId="77777777" w:rsidR="004F2967" w:rsidRDefault="004F2967">
            <w:pPr>
              <w:widowControl/>
              <w:jc w:val="center"/>
              <w:rPr>
                <w:rFonts w:ascii="微软雅黑" w:eastAsia="微软雅黑" w:hAnsi="微软雅黑" w:cs="微软雅黑"/>
                <w:lang w:eastAsia="zh-CN" w:bidi="ar"/>
              </w:rPr>
            </w:pPr>
          </w:p>
          <w:p w14:paraId="519E3101"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≤2.0</w:t>
            </w:r>
          </w:p>
          <w:p w14:paraId="3CCAE4CE" w14:textId="77777777" w:rsidR="004F2967" w:rsidRDefault="004F2967">
            <w:pPr>
              <w:widowControl/>
              <w:jc w:val="center"/>
              <w:rPr>
                <w:rFonts w:ascii="微软雅黑" w:eastAsia="微软雅黑" w:hAnsi="微软雅黑" w:cs="微软雅黑"/>
                <w:lang w:eastAsia="zh-CN" w:bidi="ar"/>
              </w:rPr>
            </w:pPr>
          </w:p>
        </w:tc>
        <w:tc>
          <w:tcPr>
            <w:tcW w:w="495" w:type="pct"/>
            <w:shd w:val="clear" w:color="auto" w:fill="auto"/>
            <w:vAlign w:val="center"/>
          </w:tcPr>
          <w:p w14:paraId="4EB88CD3" w14:textId="77777777" w:rsidR="004F2967" w:rsidRDefault="004F2967">
            <w:pPr>
              <w:widowControl/>
              <w:jc w:val="center"/>
              <w:rPr>
                <w:rFonts w:ascii="微软雅黑" w:eastAsia="微软雅黑" w:hAnsi="微软雅黑" w:cs="微软雅黑"/>
                <w:lang w:eastAsia="zh-CN" w:bidi="ar"/>
              </w:rPr>
            </w:pPr>
          </w:p>
          <w:p w14:paraId="18FF5A43"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≤40</w:t>
            </w:r>
          </w:p>
          <w:p w14:paraId="17368D7D" w14:textId="77777777" w:rsidR="004F2967" w:rsidRDefault="004F2967">
            <w:pPr>
              <w:widowControl/>
              <w:jc w:val="center"/>
              <w:rPr>
                <w:rFonts w:ascii="微软雅黑" w:eastAsia="微软雅黑" w:hAnsi="微软雅黑" w:cs="微软雅黑"/>
                <w:lang w:eastAsia="zh-CN" w:bidi="ar"/>
              </w:rPr>
            </w:pPr>
          </w:p>
        </w:tc>
        <w:tc>
          <w:tcPr>
            <w:tcW w:w="448" w:type="pct"/>
            <w:vAlign w:val="center"/>
          </w:tcPr>
          <w:p w14:paraId="22DEC363" w14:textId="77777777" w:rsidR="004F2967" w:rsidRDefault="004F2967">
            <w:pPr>
              <w:widowControl/>
              <w:jc w:val="center"/>
              <w:rPr>
                <w:rFonts w:ascii="微软雅黑" w:eastAsia="微软雅黑" w:hAnsi="微软雅黑" w:cs="微软雅黑"/>
                <w:lang w:eastAsia="zh-CN" w:bidi="ar"/>
              </w:rPr>
            </w:pPr>
          </w:p>
          <w:p w14:paraId="56FA71AC"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≥35</w:t>
            </w:r>
          </w:p>
          <w:p w14:paraId="60E7C2FA" w14:textId="77777777" w:rsidR="004F2967" w:rsidRDefault="004F2967">
            <w:pPr>
              <w:widowControl/>
              <w:jc w:val="center"/>
              <w:rPr>
                <w:rFonts w:ascii="微软雅黑" w:eastAsia="微软雅黑" w:hAnsi="微软雅黑" w:cs="微软雅黑"/>
                <w:lang w:eastAsia="zh-CN" w:bidi="ar"/>
              </w:rPr>
            </w:pPr>
          </w:p>
        </w:tc>
        <w:tc>
          <w:tcPr>
            <w:tcW w:w="428" w:type="pct"/>
            <w:shd w:val="clear" w:color="auto" w:fill="auto"/>
            <w:vAlign w:val="center"/>
          </w:tcPr>
          <w:p w14:paraId="362FD573" w14:textId="77777777" w:rsidR="004F2967" w:rsidRDefault="004F2967">
            <w:pPr>
              <w:widowControl/>
              <w:jc w:val="center"/>
              <w:rPr>
                <w:rFonts w:ascii="微软雅黑" w:eastAsia="微软雅黑" w:hAnsi="微软雅黑" w:cs="微软雅黑"/>
                <w:lang w:eastAsia="zh-CN" w:bidi="ar"/>
              </w:rPr>
            </w:pPr>
          </w:p>
          <w:p w14:paraId="641C7471"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≤60</w:t>
            </w:r>
          </w:p>
          <w:p w14:paraId="32AC00D2" w14:textId="77777777" w:rsidR="004F2967" w:rsidRDefault="004F2967">
            <w:pPr>
              <w:widowControl/>
              <w:jc w:val="center"/>
              <w:rPr>
                <w:rFonts w:ascii="微软雅黑" w:eastAsia="微软雅黑" w:hAnsi="微软雅黑" w:cs="微软雅黑"/>
                <w:lang w:eastAsia="zh-CN" w:bidi="ar"/>
              </w:rPr>
            </w:pPr>
          </w:p>
        </w:tc>
        <w:tc>
          <w:tcPr>
            <w:tcW w:w="531" w:type="pct"/>
            <w:shd w:val="clear" w:color="auto" w:fill="auto"/>
            <w:vAlign w:val="center"/>
          </w:tcPr>
          <w:p w14:paraId="0BA8561A" w14:textId="77777777" w:rsidR="004F2967" w:rsidRDefault="004F2967">
            <w:pPr>
              <w:widowControl/>
              <w:jc w:val="center"/>
              <w:rPr>
                <w:rFonts w:ascii="微软雅黑" w:eastAsia="微软雅黑" w:hAnsi="微软雅黑" w:cs="微软雅黑"/>
                <w:lang w:eastAsia="zh-CN" w:bidi="ar"/>
              </w:rPr>
            </w:pPr>
          </w:p>
          <w:p w14:paraId="53FBE6CE" w14:textId="77777777" w:rsidR="004F2967" w:rsidRDefault="00000000">
            <w:pPr>
              <w:widowControl/>
              <w:jc w:val="center"/>
              <w:rPr>
                <w:rFonts w:ascii="微软雅黑" w:eastAsia="微软雅黑" w:hAnsi="微软雅黑" w:cs="微软雅黑"/>
                <w:lang w:eastAsia="zh-CN" w:bidi="ar"/>
              </w:rPr>
            </w:pPr>
            <w:r>
              <w:rPr>
                <w:rFonts w:ascii="微软雅黑" w:eastAsia="微软雅黑" w:hAnsi="微软雅黑" w:cs="微软雅黑" w:hint="eastAsia"/>
                <w:lang w:eastAsia="zh-CN" w:bidi="ar"/>
              </w:rPr>
              <w:t>——</w:t>
            </w:r>
          </w:p>
          <w:p w14:paraId="01D251FE" w14:textId="77777777" w:rsidR="004F2967" w:rsidRDefault="004F2967">
            <w:pPr>
              <w:widowControl/>
              <w:jc w:val="center"/>
              <w:rPr>
                <w:rFonts w:ascii="微软雅黑" w:eastAsia="微软雅黑" w:hAnsi="微软雅黑" w:cs="微软雅黑"/>
                <w:lang w:eastAsia="zh-CN" w:bidi="ar"/>
              </w:rPr>
            </w:pPr>
          </w:p>
        </w:tc>
      </w:tr>
    </w:tbl>
    <w:p w14:paraId="29B73933" w14:textId="77777777" w:rsidR="004F2967" w:rsidRDefault="00000000">
      <w:pPr>
        <w:spacing w:beforeLines="50" w:before="120"/>
        <w:ind w:firstLineChars="200" w:firstLine="420"/>
        <w:jc w:val="both"/>
        <w:rPr>
          <w:rFonts w:ascii="微软雅黑" w:eastAsia="微软雅黑" w:hAnsi="微软雅黑" w:cs="微软雅黑"/>
          <w:lang w:eastAsia="zh-CN" w:bidi="ar"/>
        </w:rPr>
      </w:pPr>
      <w:r>
        <w:rPr>
          <w:rFonts w:ascii="微软雅黑" w:eastAsia="微软雅黑" w:hAnsi="微软雅黑" w:cs="微软雅黑" w:hint="eastAsia"/>
          <w:lang w:eastAsia="zh-CN" w:bidi="ar"/>
        </w:rPr>
        <w:t>备注：超出机场限高须按照《中国民用航空局自然资源部关于印发&lt;民用机场净空保护区域内建设项目净空审核管理办法&gt;的通知》（民航发〔2023〕1号文）报中国民用航空广东安全监督管理局审查</w:t>
      </w:r>
    </w:p>
    <w:p w14:paraId="751A2AAC" w14:textId="77777777" w:rsidR="004F2967" w:rsidRDefault="004F2967">
      <w:pPr>
        <w:rPr>
          <w:lang w:eastAsia="zh-CN"/>
        </w:rPr>
      </w:pPr>
    </w:p>
    <w:sectPr w:rsidR="004F2967">
      <w:pgSz w:w="11906" w:h="16838"/>
      <w:pgMar w:top="1011" w:right="1154" w:bottom="0" w:left="113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1DA2" w14:textId="77777777" w:rsidR="00BC0012" w:rsidRDefault="00BC0012">
      <w:r>
        <w:separator/>
      </w:r>
    </w:p>
  </w:endnote>
  <w:endnote w:type="continuationSeparator" w:id="0">
    <w:p w14:paraId="54BBFE35" w14:textId="77777777" w:rsidR="00BC0012" w:rsidRDefault="00BC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FBAA" w14:textId="77777777" w:rsidR="00BC0012" w:rsidRDefault="00BC0012">
      <w:r>
        <w:separator/>
      </w:r>
    </w:p>
  </w:footnote>
  <w:footnote w:type="continuationSeparator" w:id="0">
    <w:p w14:paraId="015F5AED" w14:textId="77777777" w:rsidR="00BC0012" w:rsidRDefault="00BC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MWIxYjQ2YWRhMjJiYzhjNDYxOGU2OGJlNDYxZDZlZjYifQ=="/>
  </w:docVars>
  <w:rsids>
    <w:rsidRoot w:val="004F2967"/>
    <w:rsid w:val="004F2967"/>
    <w:rsid w:val="007B583B"/>
    <w:rsid w:val="00BC0012"/>
    <w:rsid w:val="0AE3358D"/>
    <w:rsid w:val="2D6472C6"/>
    <w:rsid w:val="2DE36A5B"/>
    <w:rsid w:val="2E0C2CE6"/>
    <w:rsid w:val="3A147CDB"/>
    <w:rsid w:val="56617B1E"/>
    <w:rsid w:val="5E7173CB"/>
    <w:rsid w:val="605E7F4A"/>
    <w:rsid w:val="63FF63A4"/>
    <w:rsid w:val="68C715B4"/>
    <w:rsid w:val="6A6305C5"/>
    <w:rsid w:val="6C9C0EC0"/>
    <w:rsid w:val="714E47BA"/>
    <w:rsid w:val="7216632D"/>
    <w:rsid w:val="74574AD7"/>
    <w:rsid w:val="7D7F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C1A16"/>
  <w15:docId w15:val="{285B150E-833E-4B8E-954A-4F4FA95F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22"/>
      <w:szCs w:val="22"/>
    </w:rPr>
  </w:style>
  <w:style w:type="paragraph" w:styleId="a4">
    <w:name w:val="Normal (Web)"/>
    <w:basedOn w:val="a"/>
    <w:qFormat/>
    <w:pPr>
      <w:spacing w:beforeAutospacing="1" w:afterAutospacing="1"/>
    </w:pPr>
    <w:rPr>
      <w:rFonts w:cs="Times New Roman"/>
      <w:sz w:val="24"/>
      <w:lang w:eastAsia="zh-CN"/>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22"/>
      <w:szCs w:val="22"/>
    </w:rPr>
  </w:style>
  <w:style w:type="paragraph" w:styleId="a6">
    <w:name w:val="header"/>
    <w:basedOn w:val="a"/>
    <w:link w:val="a7"/>
    <w:rsid w:val="007B583B"/>
    <w:pPr>
      <w:tabs>
        <w:tab w:val="center" w:pos="4153"/>
        <w:tab w:val="right" w:pos="8306"/>
      </w:tabs>
      <w:jc w:val="center"/>
    </w:pPr>
    <w:rPr>
      <w:sz w:val="18"/>
      <w:szCs w:val="18"/>
    </w:rPr>
  </w:style>
  <w:style w:type="character" w:customStyle="1" w:styleId="a7">
    <w:name w:val="页眉 字符"/>
    <w:basedOn w:val="a0"/>
    <w:link w:val="a6"/>
    <w:rsid w:val="007B583B"/>
    <w:rPr>
      <w:rFonts w:ascii="Arial" w:eastAsia="Arial" w:hAnsi="Arial" w:cs="Arial"/>
      <w:snapToGrid w:val="0"/>
      <w:color w:val="000000"/>
      <w:sz w:val="18"/>
      <w:szCs w:val="18"/>
      <w:lang w:eastAsia="en-US"/>
    </w:rPr>
  </w:style>
  <w:style w:type="paragraph" w:styleId="a8">
    <w:name w:val="footer"/>
    <w:basedOn w:val="a"/>
    <w:link w:val="a9"/>
    <w:rsid w:val="007B583B"/>
    <w:pPr>
      <w:tabs>
        <w:tab w:val="center" w:pos="4153"/>
        <w:tab w:val="right" w:pos="8306"/>
      </w:tabs>
    </w:pPr>
    <w:rPr>
      <w:sz w:val="18"/>
      <w:szCs w:val="18"/>
    </w:rPr>
  </w:style>
  <w:style w:type="character" w:customStyle="1" w:styleId="a9">
    <w:name w:val="页脚 字符"/>
    <w:basedOn w:val="a0"/>
    <w:link w:val="a8"/>
    <w:rsid w:val="007B583B"/>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10</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林伟</dc:creator>
  <cp:lastModifiedBy>Admin</cp:lastModifiedBy>
  <cp:revision>2</cp:revision>
  <dcterms:created xsi:type="dcterms:W3CDTF">2024-10-23T16:55:00Z</dcterms:created>
  <dcterms:modified xsi:type="dcterms:W3CDTF">2024-12-06T08:06:00Z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2024-10-25T15:59:45Z</vt:filetime>
  </property>
  <property fmtid="{D5CDD505-2E9C-101B-9397-08002B2CF9AE}" pid="4" name="KSOProductBuildVer">
    <vt:lpwstr>2052-12.1.0.19302</vt:lpwstr>
  </property>
  <property fmtid="{D5CDD505-2E9C-101B-9397-08002B2CF9AE}" pid="5" name="ICV">
    <vt:lpwstr>7C4B251A297549A9BF5BBF1E6D5AC452_13</vt:lpwstr>
  </property>
</Properties>
</file>