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napToGrid w:val="0"/>
        <w:jc w:val="left"/>
        <w:textAlignment w:val="baseline"/>
        <w:rPr>
          <w:rFonts w:ascii="仿宋" w:hAnsi="仿宋" w:eastAsia="仿宋" w:cs="仿宋"/>
          <w:sz w:val="32"/>
          <w:szCs w:val="32"/>
          <w:lang w:eastAsia="zh-CN"/>
        </w:rPr>
      </w:pPr>
    </w:p>
    <w:p>
      <w:pPr>
        <w:pStyle w:val="22"/>
        <w:snapToGrid w:val="0"/>
        <w:textAlignment w:val="baseline"/>
      </w:pPr>
    </w:p>
    <w:p>
      <w:pPr>
        <w:pStyle w:val="22"/>
        <w:snapToGrid w:val="0"/>
        <w:textAlignment w:val="baseline"/>
      </w:pPr>
    </w:p>
    <w:p>
      <w:pPr>
        <w:pStyle w:val="22"/>
        <w:snapToGrid w:val="0"/>
        <w:textAlignment w:val="baseline"/>
        <w:rPr>
          <w:rFonts w:ascii="黑体" w:hAnsi="黑体" w:eastAsia="黑体" w:cs="黑体"/>
          <w:sz w:val="52"/>
          <w:szCs w:val="52"/>
        </w:rPr>
      </w:pPr>
      <w:r>
        <w:rPr>
          <w:rFonts w:hint="eastAsia" w:ascii="黑体" w:hAnsi="黑体" w:eastAsia="黑体" w:cs="黑体"/>
          <w:sz w:val="52"/>
          <w:szCs w:val="52"/>
          <w:lang w:eastAsia="zh-CN"/>
        </w:rPr>
        <w:t>揭阳市</w:t>
      </w:r>
      <w:r>
        <w:rPr>
          <w:rFonts w:hint="eastAsia" w:ascii="黑体" w:hAnsi="黑体" w:eastAsia="黑体" w:cs="黑体"/>
          <w:color w:val="000000"/>
          <w:sz w:val="52"/>
          <w:szCs w:val="52"/>
          <w:lang w:eastAsia="zh-CN"/>
        </w:rPr>
        <w:t>揭东</w:t>
      </w:r>
      <w:r>
        <w:rPr>
          <w:rFonts w:hint="eastAsia" w:ascii="黑体" w:hAnsi="黑体" w:eastAsia="黑体" w:cs="黑体"/>
          <w:sz w:val="52"/>
          <w:szCs w:val="52"/>
          <w:lang w:eastAsia="zh-CN"/>
        </w:rPr>
        <w:t>区</w:t>
      </w:r>
      <w:r>
        <w:rPr>
          <w:rFonts w:hint="eastAsia" w:ascii="黑体" w:hAnsi="黑体" w:eastAsia="黑体" w:cs="黑体"/>
          <w:color w:val="000000"/>
          <w:sz w:val="52"/>
          <w:szCs w:val="52"/>
        </w:rPr>
        <w:t>妇女发展规划</w:t>
      </w:r>
    </w:p>
    <w:p>
      <w:pPr>
        <w:pStyle w:val="18"/>
        <w:snapToGrid w:val="0"/>
        <w:spacing w:after="240" w:line="240" w:lineRule="auto"/>
        <w:ind w:firstLine="0"/>
        <w:jc w:val="center"/>
        <w:textAlignment w:val="baseline"/>
        <w:rPr>
          <w:rFonts w:ascii="黑体" w:hAnsi="黑体" w:eastAsia="黑体" w:cs="黑体"/>
          <w:color w:val="000000"/>
          <w:kern w:val="0"/>
          <w:sz w:val="36"/>
          <w:szCs w:val="36"/>
          <w:lang w:val="en-US" w:eastAsia="zh-CN" w:bidi="ar-SA"/>
        </w:rPr>
      </w:pPr>
      <w:r>
        <w:rPr>
          <w:rFonts w:hint="eastAsia" w:ascii="黑体" w:hAnsi="黑体" w:eastAsia="黑体" w:cs="黑体"/>
          <w:color w:val="000000"/>
          <w:kern w:val="0"/>
          <w:sz w:val="36"/>
          <w:szCs w:val="36"/>
          <w:lang w:val="en-US" w:eastAsia="zh-CN" w:bidi="ar-SA"/>
        </w:rPr>
        <w:t>（</w:t>
      </w:r>
      <w:r>
        <w:rPr>
          <w:rFonts w:ascii="黑体" w:hAnsi="黑体" w:eastAsia="黑体" w:cs="黑体"/>
          <w:color w:val="000000"/>
          <w:kern w:val="0"/>
          <w:sz w:val="36"/>
          <w:szCs w:val="36"/>
          <w:lang w:val="en-US" w:eastAsia="zh-CN" w:bidi="ar-SA"/>
        </w:rPr>
        <w:t>2021—2030</w:t>
      </w:r>
      <w:r>
        <w:rPr>
          <w:rFonts w:hint="eastAsia" w:ascii="黑体" w:hAnsi="黑体" w:eastAsia="黑体" w:cs="黑体"/>
          <w:color w:val="000000"/>
          <w:kern w:val="0"/>
          <w:sz w:val="36"/>
          <w:szCs w:val="36"/>
          <w:lang w:val="en-US" w:eastAsia="zh-CN" w:bidi="ar-SA"/>
        </w:rPr>
        <w:t>年）</w:t>
      </w:r>
    </w:p>
    <w:p>
      <w:pPr>
        <w:pStyle w:val="18"/>
        <w:snapToGrid w:val="0"/>
        <w:textAlignment w:val="baseline"/>
        <w:rPr>
          <w:rFonts w:ascii="黑体" w:hAnsi="黑体" w:eastAsia="黑体" w:cs="黑体"/>
          <w:i/>
          <w:iCs/>
          <w:sz w:val="44"/>
          <w:szCs w:val="44"/>
        </w:rPr>
      </w:pPr>
    </w:p>
    <w:p>
      <w:pPr>
        <w:pStyle w:val="25"/>
        <w:snapToGrid w:val="0"/>
        <w:textAlignment w:val="baseline"/>
        <w:rPr>
          <w:lang w:eastAsia="zh-CN"/>
        </w:rPr>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pPr>
    </w:p>
    <w:p>
      <w:pPr>
        <w:pStyle w:val="25"/>
        <w:snapToGrid w:val="0"/>
        <w:textAlignment w:val="baseline"/>
        <w:rPr>
          <w:rFonts w:ascii="宋体" w:cs="宋体"/>
          <w:sz w:val="30"/>
          <w:szCs w:val="30"/>
        </w:rPr>
      </w:pPr>
      <w:r>
        <w:rPr>
          <w:color w:val="000000"/>
        </w:rPr>
        <w:t>202</w:t>
      </w:r>
      <w:r>
        <w:rPr>
          <w:rFonts w:hint="eastAsia"/>
          <w:color w:val="000000"/>
          <w:lang w:val="en-US" w:eastAsia="zh-CN"/>
        </w:rPr>
        <w:t>2</w:t>
      </w:r>
      <w:r>
        <w:rPr>
          <w:rFonts w:hint="eastAsia" w:ascii="宋体" w:hAnsi="宋体" w:cs="宋体"/>
          <w:color w:val="000000"/>
          <w:sz w:val="30"/>
          <w:szCs w:val="30"/>
        </w:rPr>
        <w:t>年</w:t>
      </w:r>
      <w:r>
        <w:rPr>
          <w:rFonts w:hint="eastAsia"/>
          <w:color w:val="000000"/>
          <w:lang w:val="en-US" w:eastAsia="zh-CN"/>
        </w:rPr>
        <w:t>7</w:t>
      </w:r>
      <w:r>
        <w:rPr>
          <w:rFonts w:hint="eastAsia" w:ascii="宋体" w:hAnsi="宋体" w:cs="宋体"/>
          <w:color w:val="000000"/>
          <w:sz w:val="30"/>
          <w:szCs w:val="30"/>
        </w:rPr>
        <w:t>月</w:t>
      </w:r>
    </w:p>
    <w:p>
      <w:pPr>
        <w:pStyle w:val="26"/>
        <w:tabs>
          <w:tab w:val="right" w:leader="dot" w:pos="8004"/>
        </w:tabs>
        <w:snapToGrid w:val="0"/>
        <w:ind w:firstLine="0"/>
        <w:jc w:val="both"/>
        <w:textAlignment w:val="baseline"/>
        <w:rPr>
          <w:sz w:val="36"/>
          <w:szCs w:val="36"/>
          <w:lang w:eastAsia="zh-CN"/>
        </w:rPr>
      </w:pPr>
    </w:p>
    <w:p>
      <w:pPr>
        <w:pStyle w:val="26"/>
        <w:snapToGrid w:val="0"/>
        <w:textAlignment w:val="baseline"/>
        <w:rPr>
          <w:lang w:eastAsia="zh-CN"/>
        </w:rPr>
      </w:pPr>
    </w:p>
    <w:p>
      <w:pPr>
        <w:pStyle w:val="26"/>
        <w:tabs>
          <w:tab w:val="right" w:leader="dot" w:pos="8004"/>
        </w:tabs>
        <w:snapToGrid w:val="0"/>
        <w:ind w:firstLine="0"/>
        <w:jc w:val="both"/>
        <w:textAlignment w:val="baseline"/>
        <w:rPr>
          <w:b/>
          <w:bCs/>
          <w:sz w:val="40"/>
          <w:szCs w:val="40"/>
          <w:lang w:eastAsia="zh-CN"/>
        </w:rPr>
        <w:sectPr>
          <w:footerReference r:id="rId3" w:type="default"/>
          <w:pgSz w:w="11900" w:h="16840"/>
          <w:pgMar w:top="1752" w:right="2087" w:bottom="1752" w:left="1480" w:header="970" w:footer="902" w:gutter="0"/>
          <w:pgNumType w:start="1"/>
          <w:cols w:space="720" w:num="1"/>
          <w:titlePg/>
          <w:docGrid w:linePitch="360" w:charSpace="0"/>
        </w:sectPr>
      </w:pPr>
    </w:p>
    <w:p>
      <w:pPr>
        <w:pStyle w:val="26"/>
        <w:tabs>
          <w:tab w:val="right" w:leader="dot" w:pos="8004"/>
        </w:tabs>
        <w:snapToGrid w:val="0"/>
        <w:ind w:firstLine="0"/>
        <w:jc w:val="center"/>
        <w:textAlignment w:val="baseline"/>
        <w:rPr>
          <w:b/>
          <w:bCs/>
          <w:sz w:val="40"/>
          <w:szCs w:val="40"/>
          <w:lang w:eastAsia="zh-CN"/>
        </w:rPr>
      </w:pPr>
      <w:r>
        <w:rPr>
          <w:rFonts w:hint="eastAsia"/>
          <w:b/>
          <w:bCs/>
          <w:sz w:val="40"/>
          <w:szCs w:val="40"/>
          <w:lang w:eastAsia="zh-CN"/>
        </w:rPr>
        <w:t>目</w:t>
      </w:r>
      <w:r>
        <w:rPr>
          <w:b/>
          <w:bCs/>
          <w:sz w:val="40"/>
          <w:szCs w:val="40"/>
          <w:lang w:val="en-US" w:eastAsia="zh-CN"/>
        </w:rPr>
        <w:t xml:space="preserve"> </w:t>
      </w:r>
      <w:r>
        <w:rPr>
          <w:rFonts w:hint="eastAsia"/>
          <w:b/>
          <w:bCs/>
          <w:sz w:val="40"/>
          <w:szCs w:val="40"/>
          <w:lang w:eastAsia="zh-CN"/>
        </w:rPr>
        <w:t>录</w:t>
      </w:r>
    </w:p>
    <w:p>
      <w:pPr>
        <w:pStyle w:val="11"/>
        <w:tabs>
          <w:tab w:val="right" w:leader="dot" w:pos="8306"/>
          <w:tab w:val="clear" w:pos="8296"/>
        </w:tabs>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r>
        <w:fldChar w:fldCharType="begin"/>
      </w:r>
      <w:r>
        <w:instrText xml:space="preserve"> HYPERLINK \l "_Toc7147" </w:instrText>
      </w:r>
      <w:r>
        <w:fldChar w:fldCharType="separate"/>
      </w:r>
      <w:r>
        <w:rPr>
          <w:rFonts w:hint="eastAsia" w:asciiTheme="minorEastAsia" w:hAnsiTheme="minorEastAsia" w:eastAsiaTheme="minorEastAsia" w:cstheme="minorEastAsia"/>
        </w:rPr>
        <w:t>一、总体要求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_Toc7147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"_Toc25755" </w:instrText>
      </w:r>
      <w:r>
        <w:fldChar w:fldCharType="separate"/>
      </w:r>
      <w:r>
        <w:rPr>
          <w:rFonts w:hint="eastAsia" w:asciiTheme="minorEastAsia" w:hAnsiTheme="minorEastAsia" w:eastAsiaTheme="minorEastAsia" w:cstheme="minorEastAsia"/>
          <w:sz w:val="28"/>
          <w:szCs w:val="28"/>
          <w:lang w:val="zh-TW" w:eastAsia="zh-TW" w:bidi="zh-TW"/>
        </w:rPr>
        <w:t>（一）指导思想</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_Toc25755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"_Toc20950" </w:instrText>
      </w:r>
      <w:r>
        <w:fldChar w:fldCharType="separate"/>
      </w:r>
      <w:r>
        <w:rPr>
          <w:rFonts w:hint="eastAsia" w:asciiTheme="minorEastAsia" w:hAnsiTheme="minorEastAsia" w:eastAsiaTheme="minorEastAsia" w:cstheme="minorEastAsia"/>
          <w:sz w:val="28"/>
          <w:szCs w:val="28"/>
          <w:lang w:val="zh-TW" w:eastAsia="zh-TW" w:bidi="zh-TW"/>
        </w:rPr>
        <w:t>（二）总体目标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_Toc20950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asciiTheme="minorEastAsia" w:hAnsiTheme="minorEastAsia" w:eastAsiaTheme="minorEastAsia" w:cstheme="minorEastAsia"/>
        </w:rPr>
      </w:pPr>
      <w:r>
        <w:fldChar w:fldCharType="begin"/>
      </w:r>
      <w:r>
        <w:instrText xml:space="preserve"> HYPERLINK \l "_Toc14262" </w:instrText>
      </w:r>
      <w:r>
        <w:fldChar w:fldCharType="separate"/>
      </w:r>
      <w:r>
        <w:rPr>
          <w:rFonts w:hint="eastAsia" w:asciiTheme="minorEastAsia" w:hAnsiTheme="minorEastAsia" w:eastAsiaTheme="minorEastAsia" w:cstheme="minorEastAsia"/>
        </w:rPr>
        <w:t>二、发展领域、主要目标和策略措施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_Toc14262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"_Toc13071" </w:instrText>
      </w:r>
      <w:r>
        <w:fldChar w:fldCharType="separate"/>
      </w:r>
      <w:r>
        <w:rPr>
          <w:rFonts w:hint="eastAsia" w:asciiTheme="minorEastAsia" w:hAnsiTheme="minorEastAsia" w:eastAsiaTheme="minorEastAsia" w:cstheme="minorEastAsia"/>
          <w:sz w:val="28"/>
          <w:szCs w:val="28"/>
          <w:lang w:val="zh-TW" w:eastAsia="zh-TW" w:bidi="zh-TW"/>
        </w:rPr>
        <w:t>（一）妇女与健康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_Toc13071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"_Toc22787" </w:instrText>
      </w:r>
      <w:r>
        <w:fldChar w:fldCharType="separate"/>
      </w:r>
      <w:r>
        <w:rPr>
          <w:rFonts w:hint="eastAsia" w:asciiTheme="minorEastAsia" w:hAnsiTheme="minorEastAsia" w:eastAsiaTheme="minorEastAsia" w:cstheme="minorEastAsia"/>
          <w:sz w:val="28"/>
          <w:szCs w:val="28"/>
          <w:lang w:val="zh-TW" w:eastAsia="zh-TW" w:bidi="zh-TW"/>
        </w:rPr>
        <w:t>（二）妇女与教育</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_Toc22787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"_Toc602" </w:instrText>
      </w:r>
      <w:r>
        <w:fldChar w:fldCharType="separate"/>
      </w:r>
      <w:r>
        <w:rPr>
          <w:rFonts w:hint="eastAsia" w:asciiTheme="minorEastAsia" w:hAnsiTheme="minorEastAsia" w:eastAsiaTheme="minorEastAsia" w:cstheme="minorEastAsia"/>
          <w:sz w:val="28"/>
          <w:szCs w:val="28"/>
          <w:lang w:val="zh-TW" w:eastAsia="zh-TW" w:bidi="zh-TW"/>
        </w:rPr>
        <w:t>（三）妇女与经济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"_Toc19246" </w:instrText>
      </w:r>
      <w:r>
        <w:fldChar w:fldCharType="separate"/>
      </w:r>
      <w:r>
        <w:rPr>
          <w:rFonts w:hint="eastAsia" w:asciiTheme="minorEastAsia" w:hAnsiTheme="minorEastAsia" w:eastAsiaTheme="minorEastAsia" w:cstheme="minorEastAsia"/>
          <w:sz w:val="28"/>
          <w:szCs w:val="28"/>
          <w:lang w:val="zh-TW" w:eastAsia="zh-TW" w:bidi="zh-TW"/>
        </w:rPr>
        <w:t>（四）妇女参与决策和管理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_Toc19246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"_Toc7900" </w:instrText>
      </w:r>
      <w:r>
        <w:fldChar w:fldCharType="separate"/>
      </w:r>
      <w:r>
        <w:rPr>
          <w:rFonts w:hint="eastAsia" w:asciiTheme="minorEastAsia" w:hAnsiTheme="minorEastAsia" w:eastAsiaTheme="minorEastAsia" w:cstheme="minorEastAsia"/>
          <w:sz w:val="28"/>
          <w:szCs w:val="28"/>
          <w:lang w:val="zh-TW" w:eastAsia="zh-TW" w:bidi="zh-TW"/>
        </w:rPr>
        <w:t>（五）妇女与社会保障</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_Toc7900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"_Toc25411" </w:instrText>
      </w:r>
      <w:r>
        <w:fldChar w:fldCharType="separate"/>
      </w:r>
      <w:r>
        <w:rPr>
          <w:rFonts w:hint="eastAsia" w:asciiTheme="minorEastAsia" w:hAnsiTheme="minorEastAsia" w:eastAsiaTheme="minorEastAsia" w:cstheme="minorEastAsia"/>
          <w:sz w:val="28"/>
          <w:szCs w:val="28"/>
          <w:lang w:val="zh-TW" w:eastAsia="zh-TW" w:bidi="zh-TW"/>
        </w:rPr>
        <w:t>（六）妇女与家庭建设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_Toc25411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"_Toc14823" </w:instrText>
      </w:r>
      <w:r>
        <w:fldChar w:fldCharType="separate"/>
      </w:r>
      <w:r>
        <w:rPr>
          <w:rFonts w:hint="eastAsia" w:asciiTheme="minorEastAsia" w:hAnsiTheme="minorEastAsia" w:eastAsiaTheme="minorEastAsia" w:cstheme="minorEastAsia"/>
          <w:sz w:val="28"/>
          <w:szCs w:val="28"/>
          <w:lang w:val="zh-TW" w:eastAsia="zh-TW" w:bidi="zh-TW"/>
        </w:rPr>
        <w:t>（七）妇女与环境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_Toc14823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"_Toc25572" </w:instrText>
      </w:r>
      <w:r>
        <w:fldChar w:fldCharType="separate"/>
      </w:r>
      <w:r>
        <w:rPr>
          <w:rFonts w:hint="eastAsia" w:asciiTheme="minorEastAsia" w:hAnsiTheme="minorEastAsia" w:eastAsiaTheme="minorEastAsia" w:cstheme="minorEastAsia"/>
          <w:sz w:val="28"/>
          <w:szCs w:val="28"/>
          <w:lang w:val="zh-TW" w:eastAsia="zh-TW" w:bidi="zh-TW"/>
        </w:rPr>
        <w:t>（八）妇女与法律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_Toc25572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asciiTheme="minorEastAsia" w:hAnsiTheme="minorEastAsia" w:eastAsiaTheme="minorEastAsia" w:cstheme="minorEastAsia"/>
        </w:rPr>
      </w:pPr>
      <w:r>
        <w:fldChar w:fldCharType="begin"/>
      </w:r>
      <w:r>
        <w:instrText xml:space="preserve"> HYPERLINK \l "_Toc20450" </w:instrText>
      </w:r>
      <w:r>
        <w:fldChar w:fldCharType="separate"/>
      </w:r>
      <w:r>
        <w:rPr>
          <w:rFonts w:hint="eastAsia" w:asciiTheme="minorEastAsia" w:hAnsiTheme="minorEastAsia" w:eastAsiaTheme="minorEastAsia" w:cstheme="minorEastAsia"/>
        </w:rPr>
        <w:t>三、重点工程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_Toc20450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"_Toc13049" </w:instrText>
      </w:r>
      <w:r>
        <w:fldChar w:fldCharType="separate"/>
      </w:r>
      <w:r>
        <w:rPr>
          <w:rFonts w:hint="eastAsia" w:asciiTheme="minorEastAsia" w:hAnsiTheme="minorEastAsia" w:eastAsiaTheme="minorEastAsia" w:cstheme="minorEastAsia"/>
          <w:kern w:val="0"/>
          <w:sz w:val="28"/>
          <w:szCs w:val="28"/>
          <w:lang w:val="zh-TW" w:eastAsia="zh-TW" w:bidi="zh-TW"/>
        </w:rPr>
        <w:t>（一）南粤妇幼健康保护工程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_Toc13049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"_Toc9646" </w:instrText>
      </w:r>
      <w:r>
        <w:fldChar w:fldCharType="separate"/>
      </w:r>
      <w:r>
        <w:rPr>
          <w:rFonts w:hint="eastAsia" w:asciiTheme="minorEastAsia" w:hAnsiTheme="minorEastAsia" w:eastAsiaTheme="minorEastAsia" w:cstheme="minorEastAsia"/>
          <w:kern w:val="0"/>
          <w:sz w:val="28"/>
          <w:szCs w:val="28"/>
          <w:lang w:val="zh-TW" w:eastAsia="zh-TW" w:bidi="zh-TW"/>
        </w:rPr>
        <w:t>（二）南粤巾帼家政领跑者工程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_Toc9646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"_Toc1558" </w:instrText>
      </w:r>
      <w:r>
        <w:fldChar w:fldCharType="separate"/>
      </w:r>
      <w:r>
        <w:rPr>
          <w:rFonts w:hint="eastAsia" w:asciiTheme="minorEastAsia" w:hAnsiTheme="minorEastAsia" w:eastAsiaTheme="minorEastAsia" w:cstheme="minorEastAsia"/>
          <w:kern w:val="0"/>
          <w:sz w:val="28"/>
          <w:szCs w:val="28"/>
          <w:lang w:val="zh-TW" w:eastAsia="zh-TW" w:bidi="zh-TW"/>
        </w:rPr>
        <w:t>（三）妇女就业创业支持工程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"_Toc22007" </w:instrText>
      </w:r>
      <w:r>
        <w:fldChar w:fldCharType="separate"/>
      </w:r>
      <w:r>
        <w:rPr>
          <w:rFonts w:hint="eastAsia" w:asciiTheme="minorEastAsia" w:hAnsiTheme="minorEastAsia" w:eastAsiaTheme="minorEastAsia" w:cstheme="minorEastAsia"/>
          <w:kern w:val="0"/>
          <w:sz w:val="28"/>
          <w:szCs w:val="28"/>
          <w:lang w:val="zh-TW" w:eastAsia="zh-TW" w:bidi="zh-TW"/>
        </w:rPr>
        <w:t>（四）南粤巾帼乡村振兴工程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_Toc22007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"_Toc754" </w:instrText>
      </w:r>
      <w:r>
        <w:fldChar w:fldCharType="separate"/>
      </w:r>
      <w:r>
        <w:rPr>
          <w:rFonts w:hint="eastAsia" w:asciiTheme="minorEastAsia" w:hAnsiTheme="minorEastAsia" w:eastAsiaTheme="minorEastAsia" w:cstheme="minorEastAsia"/>
          <w:kern w:val="0"/>
          <w:sz w:val="28"/>
          <w:szCs w:val="28"/>
          <w:lang w:val="zh-TW" w:eastAsia="zh-TW" w:bidi="zh-TW"/>
        </w:rPr>
        <w:t>（五）南粤家家幸福安康工程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"_Toc5719" </w:instrText>
      </w:r>
      <w:r>
        <w:fldChar w:fldCharType="separate"/>
      </w:r>
      <w:r>
        <w:rPr>
          <w:rFonts w:hint="eastAsia" w:asciiTheme="minorEastAsia" w:hAnsiTheme="minorEastAsia" w:eastAsiaTheme="minorEastAsia" w:cstheme="minorEastAsia"/>
          <w:kern w:val="0"/>
          <w:sz w:val="28"/>
          <w:szCs w:val="28"/>
          <w:lang w:val="zh-TW" w:eastAsia="zh-TW" w:bidi="zh-TW"/>
        </w:rPr>
        <w:t>（六）公共场所母婴室建设工程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_Toc5719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2"/>
        <w:tabs>
          <w:tab w:val="right" w:leader="dot" w:pos="8306"/>
        </w:tabs>
        <w:spacing w:line="560" w:lineRule="exact"/>
        <w:ind w:firstLine="210"/>
        <w:rPr>
          <w:rFonts w:asciiTheme="minorEastAsia" w:hAnsiTheme="minorEastAsia" w:eastAsiaTheme="minorEastAsia" w:cstheme="minorEastAsia"/>
          <w:sz w:val="28"/>
          <w:szCs w:val="28"/>
        </w:rPr>
      </w:pPr>
      <w:r>
        <w:fldChar w:fldCharType="begin"/>
      </w:r>
      <w:r>
        <w:instrText xml:space="preserve"> HYPERLINK \l "_Toc31899" </w:instrText>
      </w:r>
      <w:r>
        <w:fldChar w:fldCharType="separate"/>
      </w:r>
      <w:r>
        <w:rPr>
          <w:rFonts w:hint="eastAsia" w:asciiTheme="minorEastAsia" w:hAnsiTheme="minorEastAsia" w:eastAsiaTheme="minorEastAsia" w:cstheme="minorEastAsia"/>
          <w:kern w:val="0"/>
          <w:sz w:val="28"/>
          <w:szCs w:val="28"/>
          <w:lang w:val="zh-TW" w:eastAsia="zh-TW" w:bidi="zh-TW"/>
        </w:rPr>
        <w:t>（七）南粤巾帼志愿服务关爱工程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_Toc31899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asciiTheme="minorEastAsia" w:hAnsiTheme="minorEastAsia" w:eastAsiaTheme="minorEastAsia" w:cstheme="minorEastAsia"/>
        </w:rPr>
      </w:pPr>
      <w:r>
        <w:fldChar w:fldCharType="begin"/>
      </w:r>
      <w:r>
        <w:instrText xml:space="preserve"> HYPERLINK \l "_Toc23084" </w:instrText>
      </w:r>
      <w:r>
        <w:fldChar w:fldCharType="separate"/>
      </w:r>
      <w:r>
        <w:rPr>
          <w:rFonts w:hint="eastAsia" w:asciiTheme="minorEastAsia" w:hAnsiTheme="minorEastAsia" w:eastAsiaTheme="minorEastAsia" w:cstheme="minorEastAsia"/>
        </w:rPr>
        <w:t>四、组织实施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_Toc23084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1"/>
        <w:tabs>
          <w:tab w:val="right" w:leader="dot" w:pos="8306"/>
          <w:tab w:val="clear" w:pos="8296"/>
        </w:tabs>
        <w:rPr>
          <w:rFonts w:asciiTheme="minorEastAsia" w:hAnsiTheme="minorEastAsia" w:eastAsiaTheme="minorEastAsia" w:cstheme="minorEastAsia"/>
        </w:rPr>
      </w:pPr>
      <w:r>
        <w:fldChar w:fldCharType="begin"/>
      </w:r>
      <w:r>
        <w:instrText xml:space="preserve"> HYPERLINK \l "_Toc31566" </w:instrText>
      </w:r>
      <w:r>
        <w:fldChar w:fldCharType="separate"/>
      </w:r>
      <w:r>
        <w:rPr>
          <w:rFonts w:hint="eastAsia" w:asciiTheme="minorEastAsia" w:hAnsiTheme="minorEastAsia" w:eastAsiaTheme="minorEastAsia" w:cstheme="minorEastAsia"/>
        </w:rPr>
        <w:t>五、监测评估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_Toc31566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widowControl/>
        <w:spacing w:line="560" w:lineRule="exact"/>
        <w:jc w:val="left"/>
        <w:rPr>
          <w:rFonts w:ascii="宋体" w:hAnsi="宋体" w:eastAsia="宋体" w:cs="宋体"/>
          <w:sz w:val="36"/>
          <w:szCs w:val="36"/>
        </w:rPr>
      </w:pPr>
      <w:r>
        <w:rPr>
          <w:rFonts w:hint="eastAsia" w:asciiTheme="minorEastAsia" w:hAnsiTheme="minorEastAsia" w:cstheme="minorEastAsia"/>
          <w:sz w:val="28"/>
          <w:szCs w:val="28"/>
        </w:rPr>
        <w:fldChar w:fldCharType="end"/>
      </w:r>
    </w:p>
    <w:p>
      <w:pPr>
        <w:spacing w:line="360" w:lineRule="auto"/>
        <w:ind w:firstLine="720" w:firstLineChars="200"/>
        <w:jc w:val="center"/>
        <w:rPr>
          <w:rFonts w:ascii="宋体" w:hAnsi="宋体" w:eastAsia="宋体" w:cs="宋体"/>
          <w:sz w:val="36"/>
          <w:szCs w:val="36"/>
        </w:rPr>
        <w:sectPr>
          <w:pgSz w:w="11906" w:h="16838"/>
          <w:pgMar w:top="1440" w:right="1800" w:bottom="1440" w:left="1800" w:header="851" w:footer="992" w:gutter="0"/>
          <w:pgNumType w:fmt="upperRoman" w:start="1"/>
          <w:cols w:space="425" w:num="1"/>
          <w:docGrid w:type="lines" w:linePitch="312" w:charSpace="0"/>
        </w:sect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揭阳市揭东区妇女发展规划</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rPr>
        <w:t>2021—2030年</w:t>
      </w:r>
      <w:r>
        <w:rPr>
          <w:rFonts w:hint="eastAsia" w:ascii="宋体" w:hAnsi="宋体" w:eastAsia="宋体" w:cs="宋体"/>
          <w:b/>
          <w:bCs/>
          <w:sz w:val="36"/>
          <w:szCs w:val="36"/>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为贯彻落实</w:t>
      </w:r>
      <w:r>
        <w:rPr>
          <w:rFonts w:hint="eastAsia" w:ascii="宋体" w:hAnsi="宋体" w:eastAsia="宋体" w:cs="宋体"/>
          <w:color w:val="000000" w:themeColor="text1"/>
          <w:sz w:val="28"/>
          <w:szCs w:val="28"/>
          <w14:textFill>
            <w14:solidFill>
              <w14:schemeClr w14:val="tx1"/>
            </w14:solidFill>
          </w14:textFill>
        </w:rPr>
        <w:t>《揭阳市妇女发展规划</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2021—2030年</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,进一步优化我区妇女发展环境，保障妇女合法权益,结合我区妇女发展实际情况,制定本规划。</w:t>
      </w:r>
    </w:p>
    <w:p>
      <w:pPr>
        <w:pStyle w:val="4"/>
        <w:spacing w:before="156"/>
        <w:ind w:firstLine="643"/>
        <w:rPr>
          <w:sz w:val="32"/>
          <w:szCs w:val="48"/>
          <w:lang w:val="zh-TW" w:eastAsia="zh-TW" w:bidi="zh-TW"/>
        </w:rPr>
      </w:pPr>
      <w:bookmarkStart w:id="0" w:name="_Toc7147"/>
      <w:r>
        <w:rPr>
          <w:rFonts w:hint="eastAsia"/>
          <w:sz w:val="32"/>
          <w:szCs w:val="48"/>
          <w:lang w:val="zh-TW" w:eastAsia="zh-TW" w:bidi="zh-TW"/>
        </w:rPr>
        <w:t>一、总体要求</w:t>
      </w:r>
      <w:bookmarkEnd w:id="0"/>
    </w:p>
    <w:p>
      <w:pPr>
        <w:pStyle w:val="5"/>
        <w:spacing w:before="156"/>
        <w:ind w:firstLine="602"/>
        <w:rPr>
          <w:sz w:val="30"/>
          <w:szCs w:val="30"/>
          <w:lang w:val="zh-TW" w:eastAsia="zh-CN" w:bidi="zh-TW"/>
        </w:rPr>
      </w:pPr>
      <w:bookmarkStart w:id="1" w:name="_Toc25755"/>
      <w:r>
        <w:rPr>
          <w:rFonts w:hint="eastAsia"/>
          <w:sz w:val="30"/>
          <w:szCs w:val="30"/>
          <w:lang w:val="zh-TW" w:eastAsia="zh-TW" w:bidi="zh-TW"/>
        </w:rPr>
        <w:t>（一）指导思想</w:t>
      </w:r>
      <w:bookmarkEnd w:id="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坚持以习近平新时代中国特色社会主义思想为指导,全面贯彻落实党的十九大和十九届历次全会精神,坚持党对妇女事业的全面领导,坚持以人民为中心的发展思想,坚持走中国特色社会主义妇女发展道路,贯彻落实男女平等基本国策,不断完善促进男女平等和妇女全面发展的制度机制,大胆探索,先行先试,优化妇女发展环境,保障妇女合法权益,促进妇女全面发展,推动性别平等成为全社会共同遵循的行为规范和价值标准,充分发挥妇女“半边天”作用,推动妇女走在时代前列。</w:t>
      </w:r>
    </w:p>
    <w:p>
      <w:pPr>
        <w:pStyle w:val="5"/>
        <w:spacing w:before="156"/>
        <w:ind w:firstLine="602"/>
        <w:rPr>
          <w:sz w:val="30"/>
          <w:szCs w:val="30"/>
          <w:lang w:val="zh-TW" w:eastAsia="zh-CN" w:bidi="zh-TW"/>
        </w:rPr>
      </w:pPr>
      <w:bookmarkStart w:id="2" w:name="_Toc20950"/>
      <w:r>
        <w:rPr>
          <w:rFonts w:hint="eastAsia"/>
          <w:sz w:val="30"/>
          <w:szCs w:val="30"/>
          <w:lang w:val="zh-TW" w:eastAsia="zh-TW" w:bidi="zh-TW"/>
        </w:rPr>
        <w:t>（二）总体目标</w:t>
      </w:r>
      <w:bookmarkEnd w:id="2"/>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我区男女平等和妇女全面发展取得更为明显的实质性进展,妇女更加自觉地担负起新时代赋予的光荣使命，妇女事业发展在全面建设社会主义现代化国家新征程中走在前列。</w:t>
      </w:r>
    </w:p>
    <w:p>
      <w:pPr>
        <w:pStyle w:val="4"/>
        <w:spacing w:before="156"/>
        <w:ind w:firstLine="643"/>
        <w:rPr>
          <w:sz w:val="32"/>
          <w:szCs w:val="48"/>
          <w:lang w:val="zh-TW" w:eastAsia="zh-TW" w:bidi="zh-TW"/>
        </w:rPr>
      </w:pPr>
      <w:bookmarkStart w:id="3" w:name="_Toc14262"/>
      <w:r>
        <w:rPr>
          <w:rFonts w:hint="eastAsia"/>
          <w:sz w:val="32"/>
          <w:szCs w:val="48"/>
          <w:lang w:val="zh-TW" w:eastAsia="zh-TW" w:bidi="zh-TW"/>
        </w:rPr>
        <w:t>二、发展领域、主要目标和策略措施</w:t>
      </w:r>
      <w:bookmarkEnd w:id="3"/>
    </w:p>
    <w:p>
      <w:pPr>
        <w:pStyle w:val="5"/>
        <w:spacing w:before="156"/>
        <w:ind w:firstLine="602"/>
        <w:rPr>
          <w:sz w:val="30"/>
          <w:szCs w:val="30"/>
          <w:lang w:val="zh-TW" w:eastAsia="zh-CN" w:bidi="zh-TW"/>
        </w:rPr>
      </w:pPr>
      <w:bookmarkStart w:id="4" w:name="_Toc13071"/>
      <w:r>
        <w:rPr>
          <w:rFonts w:hint="eastAsia"/>
          <w:sz w:val="30"/>
          <w:szCs w:val="30"/>
          <w:lang w:val="zh-TW" w:eastAsia="zh-TW" w:bidi="zh-TW"/>
        </w:rPr>
        <w:t>（一）妇女与健康</w:t>
      </w:r>
      <w:bookmarkEnd w:id="4"/>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1.妇女全生命周期享有良好的卫生健康服务,妇女人均预期寿命延长,人均健康预期寿命提高。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2.孕产妇死亡率下降到8/10万以下,城乡差距逐步缩小。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3.妇女宫颈癌和乳腺癌防治意识明显提高。宫颈癌和乳腺癌综合防治能力不断增强。适龄妇女宫颈癌人群筛查率达到70%以上,乳腺癌人群筛查率逐步提高。</w:t>
      </w:r>
    </w:p>
    <w:p>
      <w:p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4.生殖健康和优生优育知识全面普及,促进健康孕育,减少非意愿妊娠。孕产妇系统管理率达到90%以上。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5.全区婚前医学检查率提高到65%,孕前优生检查率达到80%以上。</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6.有效降低传染性疾病的母婴传播,减少艾滋病、梅毒和乙肝母婴传播,孕产妇艾滋病、梅毒和乙肝检测率达到98%以上,艾滋病母婴传播率下降到2%以下。艾滋病、梅毒孕产妇感染者治疗率达到95%以上。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7.健全妇女心理服务和干预救治网络体系。妇女心理健康素养水平不断提升,妇女焦虑障碍、抑郁症患病率上升趋势减缓。</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8.普及健康知识,提高妇女健康素养水平。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9.改善妇女营养状况。预防和减少孕产妇贫血。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10.女性化妆用品抽查合格率达到95%以上。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11.提高妇女体质测定标准合格比例,妇女经常参加体育锻炼的人数比例达到42%。</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12.关爱老年妇女健康,65岁以上老年人城乡社区规范健康管理服务率达到65%以上。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13.健全妇幼健康服务体系,提升妇幼健康服务能力,妇女健康水平不断提高。</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完善保障妇女健康的制度机制。深入实施“健康揭阳”行动,把保障人民健康放在优先发展的战略位置,多渠道支持妇女健康事业发展。健全政府主导、部门协同、社会参与、行业监管、科技支撑的妇女健康保障工作机制。</w:t>
      </w:r>
      <w:r>
        <w:rPr>
          <w:rFonts w:hint="eastAsia"/>
          <w:color w:val="000000"/>
          <w:sz w:val="28"/>
          <w:szCs w:val="28"/>
        </w:rPr>
        <w:t>落实医保、医疗、医药和监管的相关政策，</w:t>
      </w:r>
      <w:r>
        <w:rPr>
          <w:rFonts w:hint="eastAsia" w:ascii="宋体" w:hAnsi="宋体" w:eastAsia="宋体" w:cs="宋体"/>
          <w:sz w:val="28"/>
          <w:szCs w:val="28"/>
        </w:rPr>
        <w:t>保障妇女获得高质量、有效率、可负担的医疗和保健服务。完善公共卫生应急管理体系,健全重大疫情防控救治机制和应急物资保障体系,关注妇女的特殊需求。</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加强妇幼健康服务体系建设。健全以妇幼保健机构为核心、以基层医疗卫生机构为基础的妇幼健康服务网络,提升妇幼健康服务供给能力和水平,实现妇幼基本公共卫生服务均等化。全面开展妇幼保健机构绩效考核,强化考核结果应用,保障妇女儿童享有高质量的医疗保健服务。强化区、镇、村三级妇幼卫生服务网络建设,完善基层网底和转诊网络。加强复合型妇幼健康人才和产科、助产等岗位急需紧缺人才的培养使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提高妇女健康水平和人均健康预期寿命。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保障孕产妇安全分娩。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5.完善宫颈癌和乳腺癌综合防治体系和救助政策。普及防治知识,提高宫颈癌和乳腺癌防治知识知晓率。实施城乡妇女宫颈癌和乳腺癌免费检查项目。根据上级部署，推进适龄女生人乳头瘤病毒</w:t>
      </w:r>
      <w:r>
        <w:rPr>
          <w:rFonts w:hint="eastAsia" w:ascii="宋体" w:hAnsi="宋体" w:eastAsia="宋体" w:cs="宋体"/>
          <w:sz w:val="28"/>
          <w:szCs w:val="28"/>
          <w:lang w:eastAsia="zh-CN"/>
        </w:rPr>
        <w:t>（</w:t>
      </w:r>
      <w:r>
        <w:rPr>
          <w:rFonts w:hint="eastAsia" w:ascii="宋体" w:hAnsi="宋体" w:eastAsia="宋体" w:cs="宋体"/>
          <w:sz w:val="28"/>
          <w:szCs w:val="28"/>
        </w:rPr>
        <w:t>HPV</w:t>
      </w:r>
      <w:r>
        <w:rPr>
          <w:rFonts w:hint="eastAsia" w:ascii="宋体" w:hAnsi="宋体" w:eastAsia="宋体" w:cs="宋体"/>
          <w:sz w:val="28"/>
          <w:szCs w:val="28"/>
          <w:lang w:eastAsia="zh-CN"/>
        </w:rPr>
        <w:t>）</w:t>
      </w:r>
      <w:r>
        <w:rPr>
          <w:rFonts w:hint="eastAsia" w:ascii="宋体" w:hAnsi="宋体" w:eastAsia="宋体" w:cs="宋体"/>
          <w:sz w:val="28"/>
          <w:szCs w:val="28"/>
        </w:rPr>
        <w:t>疫苗接种工作,逐步将人乳头瘤病毒</w:t>
      </w:r>
      <w:r>
        <w:rPr>
          <w:rFonts w:hint="eastAsia" w:ascii="宋体" w:hAnsi="宋体" w:eastAsia="宋体" w:cs="宋体"/>
          <w:sz w:val="28"/>
          <w:szCs w:val="28"/>
          <w:lang w:eastAsia="zh-CN"/>
        </w:rPr>
        <w:t>（</w:t>
      </w:r>
      <w:r>
        <w:rPr>
          <w:rFonts w:hint="eastAsia" w:ascii="宋体" w:hAnsi="宋体" w:eastAsia="宋体" w:cs="宋体"/>
          <w:sz w:val="28"/>
          <w:szCs w:val="28"/>
        </w:rPr>
        <w:t>HPV</w:t>
      </w:r>
      <w:r>
        <w:rPr>
          <w:rFonts w:hint="eastAsia" w:ascii="宋体" w:hAnsi="宋体" w:eastAsia="宋体" w:cs="宋体"/>
          <w:sz w:val="28"/>
          <w:szCs w:val="28"/>
          <w:lang w:eastAsia="zh-CN"/>
        </w:rPr>
        <w:t>）</w:t>
      </w:r>
      <w:r>
        <w:rPr>
          <w:rFonts w:hint="eastAsia" w:ascii="宋体" w:hAnsi="宋体" w:eastAsia="宋体" w:cs="宋体"/>
          <w:sz w:val="28"/>
          <w:szCs w:val="28"/>
        </w:rPr>
        <w:t>疫苗接种纳入公共卫生服务。落实基本公共卫生服务中农村妇女宫颈癌和乳腺癌检查项目,促进70%的妇女在35—45岁接受宫颈癌筛查,督促用人单位定期进行女职工宫颈癌和乳腺癌筛查。加强宫颈癌和乳腺癌筛查和诊断技术创新应用。强化筛查和后续诊治服务的衔接,宫颈癌患者治疗率达到90%以上。加强对困难患者的救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提高妇女生殖健康和常见病防治水平。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探索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加强艾滋病、梅毒和乙肝病毒母婴传播防治。全面落实预防艾滋病、梅毒和乙肝病毒母婴传播综合干预措施,加大防治宣传和防控力度。加强对妇女感染者特别是流动和经济困难妇女感染者及其家庭的医疗、健康咨询、心理和社会支持等服务,提高随访率。先天梅毒报告发病率下降到15/10万活产数以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促进妇女心理健康。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提升妇女健康素养。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引导妇女积极参与全民健身行动。努力构建城镇社区15分钟健身圈。发展妇女喜闻乐见的健身运动项目,传承推广潮汕传统体育项目,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保障女性健康卫生用品产品的质量。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强化妇女健康服务科技支撑。推进“互联网+妇幼健康”,促进信息技术在妇女健康领域专科医联体建设中的应用,加强医疗机构间的协作,促进分级诊疗和上下联动。建立健全妇幼保健全程信息化管理和跟踪机制,实现婚前检查、围产期管理、住院分娩、产后保健、0—6岁儿童保健管理等信息互联互通、多证联办。建立妇女儿童健康管理信息数据库,实现社区、医院与妇幼保健机构信息共享。</w:t>
      </w:r>
    </w:p>
    <w:p>
      <w:pPr>
        <w:pStyle w:val="5"/>
        <w:spacing w:before="156"/>
        <w:ind w:firstLine="602"/>
        <w:rPr>
          <w:sz w:val="30"/>
          <w:szCs w:val="30"/>
          <w:lang w:val="zh-TW" w:eastAsia="zh-CN" w:bidi="zh-TW"/>
        </w:rPr>
      </w:pPr>
      <w:bookmarkStart w:id="5" w:name="_Toc22787"/>
      <w:r>
        <w:rPr>
          <w:rFonts w:hint="eastAsia"/>
          <w:sz w:val="30"/>
          <w:szCs w:val="30"/>
          <w:lang w:val="zh-TW" w:eastAsia="zh-TW" w:bidi="zh-TW"/>
        </w:rPr>
        <w:t>（二）妇女与教育</w:t>
      </w:r>
      <w:bookmarkEnd w:id="5"/>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1.加强思想政治教育,增进妇女对习近平新时代中国特色社会主义思想的政治认同、思想认同、情感认同,引领妇女做伟大事业的建设者、文明风尚的倡导者、敢于追梦的奋斗者。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2.教育工作全面贯彻男女平等基本国策。大中小学性别平等教育全面推进,教师和学生的男女平等意识明显增强。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3.女童平等接受学前教育,学前教育毛入园率达到100%。</w:t>
      </w:r>
    </w:p>
    <w:p>
      <w:pPr>
        <w:spacing w:line="360" w:lineRule="auto"/>
        <w:ind w:firstLine="560" w:firstLineChars="200"/>
      </w:pPr>
      <w:r>
        <w:rPr>
          <w:rFonts w:hint="eastAsia" w:ascii="宋体" w:hAnsi="宋体" w:eastAsia="宋体" w:cs="宋体"/>
          <w:sz w:val="28"/>
          <w:szCs w:val="28"/>
        </w:rPr>
        <w:t>4.女童平等接受义务教育,女童九年义务教育巩固率稳定在96%以上。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5.女性平等接受高中阶段教育,女生高中阶段教育毛入学率达到并保持在95%以上。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6.女性接受职业教育的水平逐步提高。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7.保障女性平等接受高等教育的权利和机会。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8.大力培养女性科技人才。男女两性的科学素质水平差距不断缩小。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9.促进女性树立终身学习意识,女性接受终身教育水平不断提高。</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揭东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开展“巾帼大宣讲”活动，进一步增强广大妇女群众爱党爱国情怀，团结带领广大妇女坚定不移听党话、跟党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将贯彻落实男女平等基本国策体现在教育工作全过程。增强教育工作者自觉贯彻男女平等基本国策的主动性和能动性。将男女平等基本国策落实到教育法规政策的执行和规划制定、修订、执行、评估全过程，落实到各级各类教育内容、教学过程、学校管理中。加强对教材编制、课程设置、教学过程的性别平等评估。在各级各类师资培训中加入性别平等内容。全面开展中小学</w:t>
      </w:r>
      <w:r>
        <w:rPr>
          <w:rFonts w:hint="eastAsia" w:ascii="宋体" w:hAnsi="宋体" w:eastAsia="宋体" w:cs="宋体"/>
          <w:sz w:val="28"/>
          <w:szCs w:val="28"/>
          <w:lang w:eastAsia="zh-CN"/>
        </w:rPr>
        <w:t>（</w:t>
      </w:r>
      <w:r>
        <w:rPr>
          <w:rFonts w:hint="eastAsia" w:ascii="宋体" w:hAnsi="宋体" w:eastAsia="宋体" w:cs="宋体"/>
          <w:sz w:val="28"/>
          <w:szCs w:val="28"/>
        </w:rPr>
        <w:t>包括中职学校</w:t>
      </w:r>
      <w:r>
        <w:rPr>
          <w:rFonts w:hint="eastAsia" w:ascii="宋体" w:hAnsi="宋体" w:eastAsia="宋体" w:cs="宋体"/>
          <w:sz w:val="28"/>
          <w:szCs w:val="28"/>
          <w:lang w:eastAsia="zh-CN"/>
        </w:rPr>
        <w:t>）</w:t>
      </w:r>
      <w:r>
        <w:rPr>
          <w:rFonts w:hint="eastAsia" w:ascii="宋体" w:hAnsi="宋体" w:eastAsia="宋体" w:cs="宋体"/>
          <w:sz w:val="28"/>
          <w:szCs w:val="28"/>
        </w:rPr>
        <w:t>性别平等教育工作。鼓励开发性别平等的校本课程。探索构建学校教育、家庭教育、社会教育相结合的性别平等教育模式,让性别平等成为全社会共同遵循的行为规范和价值标准。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保障女童平等接受学前教育、义务教育的权利和机会。深化教育教学改革,均衡配置教育资源,确保女童平等接受公平优质的学前教育和义务教育。健全精准控辍保学长效机制,加强分类指导,督促法定监护人依法保障女童接受义务教育,切实解决义务教育女童失学辍学问题。保障低收入家庭女童、留守女童、农业转移人口随迁子女以及残疾女童的受教育权利和机会。支持学业困难女童完成义务教育,提高女童义务教育巩固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提高女性接受普通高中教育的比例。保障女性特别是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5.促进女性接受高质量职业教育。完善学历教育与培训并重的现代职业教育体系,优化专业设置,提供多种学习方式,支持女性获得职业技能等级证书,培养复合型技术技能女性人才和能工巧匠、大国工匠。</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保障女性平等接受高等教育的权利和机会。贯彻落实男女平等的基本国策，依法保障女性平等接受高等教育的权利和机会，提高女性主要劳动年龄人口中接受高等教育的比例。完善贫困女大学生资助政策，提高救助标准，保障女性平等接受高等教育的权利和机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大力提高女性科学素质,培养女性科技人才。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落实农村妇女素质提升计划,支持农村妇女参与农业农村现代化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为女性终身学习提供支持。建立完善更加开放灵活的终身学习体系,完善注册学习、弹性学习和继续教育制度,拓宽学历教育渠道,满足女性多样化学习需求,关注因生育中断学业和职业的女性发展需求。为女性提供便捷的社区和在线教育,为进城务工女性、女性新市民、待业女性等提供有针对性的职业技能培训。健全继续教育激励机制,支持用人单位为从业妇女提供继续教育的机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pStyle w:val="5"/>
        <w:spacing w:before="156"/>
        <w:ind w:firstLine="602"/>
        <w:rPr>
          <w:sz w:val="30"/>
          <w:szCs w:val="30"/>
          <w:lang w:val="zh-TW" w:eastAsia="zh-CN" w:bidi="zh-TW"/>
        </w:rPr>
      </w:pPr>
      <w:bookmarkStart w:id="6" w:name="_Toc602"/>
      <w:r>
        <w:rPr>
          <w:rFonts w:hint="eastAsia"/>
          <w:sz w:val="30"/>
          <w:szCs w:val="30"/>
          <w:lang w:val="zh-TW" w:eastAsia="zh-TW" w:bidi="zh-TW"/>
        </w:rPr>
        <w:t>（三）妇女与经济</w:t>
      </w:r>
      <w:bookmarkEnd w:id="6"/>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1.鼓励支持妇女为推动经济高质量发展贡献力量,妇女平等参与经济发展的权利和机会得到保障。</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2.促进平等就业,消除就业性别歧视。就业人员中的女性比例保持在45%左右。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3.优化妇女就业结构。城镇单位就业人员中的女性比例达到42%以上。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4.促进女性人才发展。高级专业技术人员中的女性比例达到40%。</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5.促进女性劳动者提升技能水平。企业女职工接受职业技能培训的比例保持并巩固在95%以上,农村技能培训女性人数占总培训人数比例达50%左右。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6.保障妇女获得公平的劳动报酬,男女收入差距明显缩小。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7.保障女性劳动者劳动安全和健康。女职工职业病发病率明显降低。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8.保障农村妇女平等享有土地承包经营权、宅基地使用权等权益,平等享有农村集体经济组织收益分配、土地征收或征用安置补偿权益。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9.妇女在实施乡村振兴战略中的作用充分发挥,农村低收入妇女群体的可持续发展能力增强。</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全面落实保障妇女平等获得经济资源、参与经济建设、享有经济发展成果的法规政策。制定实施支持女性科技人才在创新发展中发挥更大作用的政策措施。保障妇女在就业创业、职业发展、劳动报酬、职业健康与安全、职业退出、土地等方面的权益,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加大消除就业性别歧视的工作力度。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w:t>
      </w:r>
      <w:r>
        <w:rPr>
          <w:rFonts w:hint="eastAsia" w:ascii="宋体" w:hAnsi="宋体" w:eastAsia="宋体" w:cs="宋体"/>
          <w:sz w:val="28"/>
          <w:szCs w:val="28"/>
          <w:lang w:eastAsia="zh-CN"/>
        </w:rPr>
        <w:t>（</w:t>
      </w:r>
      <w:r>
        <w:rPr>
          <w:rFonts w:hint="eastAsia" w:ascii="宋体" w:hAnsi="宋体" w:eastAsia="宋体" w:cs="宋体"/>
          <w:sz w:val="28"/>
          <w:szCs w:val="28"/>
        </w:rPr>
        <w:t>聘</w:t>
      </w:r>
      <w:r>
        <w:rPr>
          <w:rFonts w:hint="eastAsia" w:ascii="宋体" w:hAnsi="宋体" w:eastAsia="宋体" w:cs="宋体"/>
          <w:sz w:val="28"/>
          <w:szCs w:val="28"/>
          <w:lang w:eastAsia="zh-CN"/>
        </w:rPr>
        <w:t>）</w:t>
      </w:r>
      <w:r>
        <w:rPr>
          <w:rFonts w:hint="eastAsia" w:ascii="宋体" w:hAnsi="宋体" w:eastAsia="宋体" w:cs="宋体"/>
          <w:sz w:val="28"/>
          <w:szCs w:val="28"/>
        </w:rPr>
        <w:t>和职工晋职晋级、评定专业技术职称等方面发挥男女平等的示范引领作用。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促进妇女就业创业。强化就业政策与经济、社会政策的衔接,做好妇女就业状况调查分析工作。优化升级援企稳岗政策,增加妇女就业岗位。壮大新动能,培育新就业增长点,扩大妇女灵活就业、新就业形态空间。完善妇女就业服务体系,丰富公共就业服务渠道,完善普惠性创业扶持政策,推进创业孵化载体建设，鼓励女性参加创业创新大赛。扩大公益性岗位安置,帮扶残疾妇女、零就业家庭成员等就业困难妇女就地就近就业。深入实施职业技能提升行动,推进“粤菜师傅”“广东技工”“南粤家政”三项工程高质量发展。加快培育数字经济新兴就业机会,持续提升妇女数字技能,加大对女性在互联网、大数据等高新科技领域创业的扶持力度,引导广大妇女运用电子商务、微信平台等新技术,拓宽妇女创业致富新空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改善妇女就业结构。完善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完善女性高级管理人才和女性技能人才统计制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改善女性劳动者劳动安全状况。广泛开展劳动安全和健康宣传教育,将女职工劳动保护纳入职业健康和安全生产监督管理范围。督促用人单位加强对女职工经期、孕期、哺乳期的特殊保护,落实哺乳时间和产假制度。督促用人单位加强职业防护和职业健康监督保护,保障女职工在工作中免受有毒物质和危险生产工艺的危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保障女职工劳动权益。严格落实女职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和诉讼作用, 推动有条件的劳动人事争议仲裁机构设立女职工维权仲裁庭, 依法调处女职工劳动争议案件。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8.为女性生育后的职业发展创造有利条件。</w:t>
      </w:r>
      <w:r>
        <w:rPr>
          <w:rFonts w:hint="eastAsia"/>
          <w:kern w:val="0"/>
          <w:sz w:val="28"/>
          <w:szCs w:val="28"/>
        </w:rPr>
        <w:t>落实人口生育</w:t>
      </w:r>
      <w:r>
        <w:rPr>
          <w:rFonts w:hint="eastAsia" w:ascii="宋体" w:hAnsi="宋体" w:eastAsia="宋体" w:cs="宋体"/>
          <w:sz w:val="28"/>
          <w:szCs w:val="28"/>
        </w:rPr>
        <w:t>相关法规政策。禁止用人单位因女职工怀孕、生育、哺乳而降低工资、恶意调岗、予以辞退、解除劳动</w:t>
      </w:r>
      <w:r>
        <w:rPr>
          <w:rFonts w:hint="eastAsia" w:ascii="宋体" w:hAnsi="宋体" w:eastAsia="宋体" w:cs="宋体"/>
          <w:sz w:val="28"/>
          <w:szCs w:val="28"/>
          <w:lang w:eastAsia="zh-CN"/>
        </w:rPr>
        <w:t>（</w:t>
      </w:r>
      <w:r>
        <w:rPr>
          <w:rFonts w:hint="eastAsia" w:ascii="宋体" w:hAnsi="宋体" w:eastAsia="宋体" w:cs="宋体"/>
          <w:sz w:val="28"/>
          <w:szCs w:val="28"/>
        </w:rPr>
        <w:t>聘用</w:t>
      </w:r>
      <w:r>
        <w:rPr>
          <w:rFonts w:hint="eastAsia" w:ascii="宋体" w:hAnsi="宋体" w:eastAsia="宋体" w:cs="宋体"/>
          <w:sz w:val="28"/>
          <w:szCs w:val="28"/>
          <w:lang w:eastAsia="zh-CN"/>
        </w:rPr>
        <w:t>）</w:t>
      </w:r>
      <w:r>
        <w:rPr>
          <w:rFonts w:hint="eastAsia" w:ascii="宋体" w:hAnsi="宋体" w:eastAsia="宋体" w:cs="宋体"/>
          <w:sz w:val="28"/>
          <w:szCs w:val="28"/>
        </w:rPr>
        <w:t>合同,推动落实生育奖励假期间的工资待遇,定期开展女职工生育权益保障专项督查。为女性生育后回归岗位或再就业提供培训等支持。推动用人单位根据女职工需要建立女职工哺乳室、孕妇休息室等设施。增加优质普惠性托育服务供给,支持用人单位为职工提供福利性托育托管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10.支持妇女积极参与乡村振兴。积极发挥妇女在农村一二三产业融合发展和农业农村现代化建设中的作用。发挥农村创业创新园区</w:t>
      </w:r>
      <w:r>
        <w:rPr>
          <w:rFonts w:hint="eastAsia" w:ascii="宋体" w:hAnsi="宋体" w:eastAsia="宋体" w:cs="宋体"/>
          <w:sz w:val="28"/>
          <w:szCs w:val="28"/>
          <w:lang w:eastAsia="zh-CN"/>
        </w:rPr>
        <w:t>（</w:t>
      </w:r>
      <w:r>
        <w:rPr>
          <w:rFonts w:hint="eastAsia" w:ascii="宋体" w:hAnsi="宋体" w:eastAsia="宋体" w:cs="宋体"/>
          <w:sz w:val="28"/>
          <w:szCs w:val="28"/>
        </w:rPr>
        <w:t>基地</w:t>
      </w:r>
      <w:r>
        <w:rPr>
          <w:rFonts w:hint="eastAsia" w:ascii="宋体" w:hAnsi="宋体" w:eastAsia="宋体" w:cs="宋体"/>
          <w:sz w:val="28"/>
          <w:szCs w:val="28"/>
          <w:lang w:eastAsia="zh-CN"/>
        </w:rPr>
        <w:t>）</w:t>
      </w:r>
      <w:r>
        <w:rPr>
          <w:rFonts w:hint="eastAsia" w:ascii="宋体" w:hAnsi="宋体" w:eastAsia="宋体" w:cs="宋体"/>
          <w:sz w:val="28"/>
          <w:szCs w:val="28"/>
        </w:rPr>
        <w:t>、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建立农村低收入人口帮扶机制。健全防止返贫监测和帮扶机制。组织和发展适合当地特色的现代绿色农业,支持农村妇女就地就近就业,帮助妇女在乡村振兴建设中共同发展共同富裕。</w:t>
      </w:r>
    </w:p>
    <w:p>
      <w:pPr>
        <w:pStyle w:val="5"/>
        <w:spacing w:before="156"/>
        <w:ind w:firstLine="602"/>
        <w:rPr>
          <w:sz w:val="30"/>
          <w:szCs w:val="30"/>
          <w:lang w:val="zh-TW" w:eastAsia="zh-CN" w:bidi="zh-TW"/>
        </w:rPr>
      </w:pPr>
      <w:bookmarkStart w:id="7" w:name="_Toc19246"/>
      <w:r>
        <w:rPr>
          <w:rFonts w:hint="eastAsia"/>
          <w:sz w:val="30"/>
          <w:szCs w:val="30"/>
          <w:lang w:val="zh-TW" w:eastAsia="zh-TW" w:bidi="zh-TW"/>
        </w:rPr>
        <w:t>（四）妇女参与决策和管理</w:t>
      </w:r>
      <w:bookmarkEnd w:id="7"/>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1.保障妇女参与社会主义民主政治建设和社会治理,提升参与水平。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2.中国共产党女党员保持合理比例。中国共产党各级党员代表大会中女党员代表比例一般不低于本地区党员总数中女性比例。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3.区人大代表、政协委员以及人大、政协常委中的女性比例逐步提高。</w:t>
      </w:r>
    </w:p>
    <w:p>
      <w:pPr>
        <w:spacing w:line="360" w:lineRule="auto"/>
        <w:ind w:firstLine="560" w:firstLineChars="200"/>
        <w:rPr>
          <w:rFonts w:ascii="楷体" w:hAnsi="楷体" w:eastAsia="楷体" w:cs="楷体"/>
          <w:color w:val="0000FF"/>
          <w:sz w:val="24"/>
        </w:rPr>
      </w:pPr>
      <w:r>
        <w:rPr>
          <w:rFonts w:hint="eastAsia" w:ascii="宋体" w:hAnsi="宋体" w:eastAsia="宋体" w:cs="宋体"/>
          <w:sz w:val="28"/>
          <w:szCs w:val="28"/>
        </w:rPr>
        <w:t>4.区党委、政府领导班子中的女干部比例逐步提高,担任正职的女干部占同级正职干部的比例逐步提高。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5.区党委、政府工作部门领导班子中女干部比例逐步提高,担任正职的女干部占同级正职干部的比例逐步提高。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6.事业单位领导班子成员中的女性比例逐步提高。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7.企业董事会、监事会成员及管理层中的女性比例逐步提高。企事业单位职工代表大会中女性比例与女职工比例相适应。</w:t>
      </w:r>
    </w:p>
    <w:p>
      <w:pPr>
        <w:spacing w:line="360" w:lineRule="auto"/>
        <w:ind w:firstLine="560" w:firstLineChars="200"/>
        <w:rPr>
          <w:rFonts w:ascii="楷体" w:hAnsi="楷体" w:eastAsia="楷体" w:cs="楷体"/>
          <w:color w:val="0000FF"/>
          <w:sz w:val="24"/>
        </w:rPr>
      </w:pPr>
      <w:r>
        <w:rPr>
          <w:rFonts w:hint="eastAsia" w:ascii="宋体" w:hAnsi="宋体" w:eastAsia="宋体" w:cs="宋体"/>
          <w:sz w:val="28"/>
          <w:szCs w:val="28"/>
        </w:rPr>
        <w:t>8.村党组织成员、村党组织书记中女性比例逐步提高。村委会成员中女性比例达到30%以上,村委会主任中女性比例逐步提高。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9.社区党组织成员、社区党组织书记中女性比例逐步提高。社区居委会成员中女性比例保持在50%左右,社区居委会主任中女性比例达到40%以上。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10.鼓励支持女性参与社会组织、担任社会组织负责人。</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加大对妇女参与决策和管理的支持力度。充分发挥妇女在参与国家和社会事务管理中的重要作用,破除制约妇女参与决策和管理的障碍,把推动妇女参政纳入重要议程,提出目标举措。将男女平等基本国策纳入党校培训内容,提高各级领导干部贯彻落实男女平等基本国策的意识。采取有效措施,提升党委、人大、政府、政协、党政工作部门以及企事业单位、基层群众自治组织和社会组织中的女性比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提高妇女参与社会事务和民主管理的意识和能力。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重视发展中国共产党女党员。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加大培养选拔女干部工作力度。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w:t>
      </w:r>
      <w:r>
        <w:rPr>
          <w:rFonts w:hint="eastAsia" w:ascii="宋体" w:hAnsi="宋体" w:eastAsia="宋体" w:cs="宋体"/>
          <w:sz w:val="28"/>
          <w:szCs w:val="28"/>
          <w:lang w:eastAsia="zh-CN"/>
        </w:rPr>
        <w:t>（</w:t>
      </w:r>
      <w:r>
        <w:rPr>
          <w:rFonts w:hint="eastAsia" w:ascii="宋体" w:hAnsi="宋体" w:eastAsia="宋体" w:cs="宋体"/>
          <w:sz w:val="28"/>
          <w:szCs w:val="28"/>
        </w:rPr>
        <w:t>任</w:t>
      </w:r>
      <w:r>
        <w:rPr>
          <w:rFonts w:hint="eastAsia" w:ascii="宋体" w:hAnsi="宋体" w:eastAsia="宋体" w:cs="宋体"/>
          <w:sz w:val="28"/>
          <w:szCs w:val="28"/>
          <w:lang w:eastAsia="zh-CN"/>
        </w:rPr>
        <w:t>）</w:t>
      </w:r>
      <w:r>
        <w:rPr>
          <w:rFonts w:hint="eastAsia" w:ascii="宋体" w:hAnsi="宋体" w:eastAsia="宋体" w:cs="宋体"/>
          <w:sz w:val="28"/>
          <w:szCs w:val="28"/>
        </w:rPr>
        <w:t>用、晋升、退休各环节不因性别受到歧视。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推动妇女广泛参与企业决策管理。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8.推动妇女有序参与城乡基层社会治理。注重广纳人才,培养选拔村</w:t>
      </w:r>
      <w:r>
        <w:rPr>
          <w:rFonts w:hint="eastAsia" w:ascii="宋体" w:hAnsi="宋体" w:eastAsia="宋体" w:cs="宋体"/>
          <w:sz w:val="28"/>
          <w:szCs w:val="28"/>
          <w:lang w:eastAsia="zh-CN"/>
        </w:rPr>
        <w:t>（</w:t>
      </w:r>
      <w:r>
        <w:rPr>
          <w:rFonts w:hint="eastAsia" w:ascii="宋体" w:hAnsi="宋体" w:eastAsia="宋体" w:cs="宋体"/>
          <w:sz w:val="28"/>
          <w:szCs w:val="28"/>
        </w:rPr>
        <w:t>社区</w:t>
      </w:r>
      <w:r>
        <w:rPr>
          <w:rFonts w:hint="eastAsia" w:ascii="宋体" w:hAnsi="宋体" w:eastAsia="宋体" w:cs="宋体"/>
          <w:sz w:val="28"/>
          <w:szCs w:val="28"/>
          <w:lang w:eastAsia="zh-CN"/>
        </w:rPr>
        <w:t>）</w:t>
      </w:r>
      <w:r>
        <w:rPr>
          <w:rFonts w:hint="eastAsia" w:ascii="宋体" w:hAnsi="宋体" w:eastAsia="宋体" w:cs="宋体"/>
          <w:sz w:val="28"/>
          <w:szCs w:val="28"/>
        </w:rPr>
        <w:t>女干部。在村</w:t>
      </w:r>
      <w:r>
        <w:rPr>
          <w:rFonts w:hint="eastAsia" w:ascii="宋体" w:hAnsi="宋体" w:eastAsia="宋体" w:cs="宋体"/>
          <w:sz w:val="28"/>
          <w:szCs w:val="28"/>
          <w:lang w:eastAsia="zh-CN"/>
        </w:rPr>
        <w:t>（</w:t>
      </w:r>
      <w:r>
        <w:rPr>
          <w:rFonts w:hint="eastAsia" w:ascii="宋体" w:hAnsi="宋体" w:eastAsia="宋体" w:cs="宋体"/>
          <w:sz w:val="28"/>
          <w:szCs w:val="28"/>
        </w:rPr>
        <w:t>社区</w:t>
      </w:r>
      <w:r>
        <w:rPr>
          <w:rFonts w:hint="eastAsia" w:ascii="宋体" w:hAnsi="宋体" w:eastAsia="宋体" w:cs="宋体"/>
          <w:sz w:val="28"/>
          <w:szCs w:val="28"/>
          <w:lang w:eastAsia="zh-CN"/>
        </w:rPr>
        <w:t>）</w:t>
      </w:r>
      <w:r>
        <w:rPr>
          <w:rFonts w:hint="eastAsia" w:ascii="宋体" w:hAnsi="宋体" w:eastAsia="宋体" w:cs="宋体"/>
          <w:sz w:val="28"/>
          <w:szCs w:val="28"/>
        </w:rPr>
        <w:t>“两委”换届工作中,通过提名确定女性候选人、女性委员专职专选、女性成员缺位增补等措施,提高村</w:t>
      </w:r>
      <w:r>
        <w:rPr>
          <w:rFonts w:hint="eastAsia" w:ascii="宋体" w:hAnsi="宋体" w:eastAsia="宋体" w:cs="宋体"/>
          <w:sz w:val="28"/>
          <w:szCs w:val="28"/>
          <w:lang w:eastAsia="zh-CN"/>
        </w:rPr>
        <w:t>（</w:t>
      </w:r>
      <w:r>
        <w:rPr>
          <w:rFonts w:hint="eastAsia" w:ascii="宋体" w:hAnsi="宋体" w:eastAsia="宋体" w:cs="宋体"/>
          <w:sz w:val="28"/>
          <w:szCs w:val="28"/>
        </w:rPr>
        <w:t>居</w:t>
      </w:r>
      <w:r>
        <w:rPr>
          <w:rFonts w:hint="eastAsia" w:ascii="宋体" w:hAnsi="宋体" w:eastAsia="宋体" w:cs="宋体"/>
          <w:sz w:val="28"/>
          <w:szCs w:val="28"/>
          <w:lang w:eastAsia="zh-CN"/>
        </w:rPr>
        <w:t>）</w:t>
      </w:r>
      <w:r>
        <w:rPr>
          <w:rFonts w:hint="eastAsia" w:ascii="宋体" w:hAnsi="宋体" w:eastAsia="宋体" w:cs="宋体"/>
          <w:sz w:val="28"/>
          <w:szCs w:val="28"/>
        </w:rPr>
        <w:t>委会成员、村</w:t>
      </w:r>
      <w:r>
        <w:rPr>
          <w:rFonts w:hint="eastAsia" w:ascii="宋体" w:hAnsi="宋体" w:eastAsia="宋体" w:cs="宋体"/>
          <w:sz w:val="28"/>
          <w:szCs w:val="28"/>
          <w:lang w:eastAsia="zh-CN"/>
        </w:rPr>
        <w:t>（</w:t>
      </w:r>
      <w:r>
        <w:rPr>
          <w:rFonts w:hint="eastAsia" w:ascii="宋体" w:hAnsi="宋体" w:eastAsia="宋体" w:cs="宋体"/>
          <w:sz w:val="28"/>
          <w:szCs w:val="28"/>
        </w:rPr>
        <w:t>居</w:t>
      </w:r>
      <w:r>
        <w:rPr>
          <w:rFonts w:hint="eastAsia" w:ascii="宋体" w:hAnsi="宋体" w:eastAsia="宋体" w:cs="宋体"/>
          <w:sz w:val="28"/>
          <w:szCs w:val="28"/>
          <w:lang w:eastAsia="zh-CN"/>
        </w:rPr>
        <w:t>）</w:t>
      </w:r>
      <w:r>
        <w:rPr>
          <w:rFonts w:hint="eastAsia" w:ascii="宋体" w:hAnsi="宋体" w:eastAsia="宋体" w:cs="宋体"/>
          <w:sz w:val="28"/>
          <w:szCs w:val="28"/>
        </w:rPr>
        <w:t>委会主任中的女性比例。组织妇女积极参与村规民约、居民公约的制定修订,开展协商议事活动。促进新社会阶层、社会工作者和志愿者中的女性积极参与社会治理。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支持引导妇女参与社会组织。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pStyle w:val="5"/>
        <w:spacing w:before="156"/>
        <w:ind w:firstLine="602"/>
        <w:rPr>
          <w:sz w:val="30"/>
          <w:szCs w:val="30"/>
          <w:lang w:val="zh-TW" w:eastAsia="zh-CN" w:bidi="zh-TW"/>
        </w:rPr>
      </w:pPr>
      <w:bookmarkStart w:id="8" w:name="_Toc7900"/>
      <w:r>
        <w:rPr>
          <w:rFonts w:hint="eastAsia"/>
          <w:sz w:val="30"/>
          <w:szCs w:val="30"/>
          <w:lang w:val="zh-TW" w:eastAsia="zh-TW" w:bidi="zh-TW"/>
        </w:rPr>
        <w:t>（五）妇女与社会保障</w:t>
      </w:r>
      <w:bookmarkEnd w:id="8"/>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1.妇女平等享有社会保障权益,保障水平不断提高。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2.完善生育保障制度。提高生育保险参保率。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3.完善医疗保障体系。妇女基本医疗保险参保率稳定在95%以上，待遇保障公平适度。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4.完善养老保险制度体系。妇女基本养老保险参保率提高到95%,待遇水平稳步提高。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5.完善失业保险和工伤保险制度。提高妇女失业保险和工伤保险参保人数,落实相关待遇保障。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6.健全分层分类社会救助体系。困难妇女的生活得到基本保障。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7.妇女福利待遇水平持续提高,重点向老年妇女、残疾妇女等群体倾斜。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8.建立完善多层次养老服务和长期照护保障制度。保障老年妇女享有均等可及的基本养老服务,对失能妇女的照护服务水平不断提高。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9.加强对妇女的关爱服务,重点为有困难、有需求的妇女提供帮扶。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完善惠及妇女群体的社会保障体系。在落实社会救助、社会保险等相关法规和健全覆盖全民的社会保障体系工作中,关切和保障妇女的特殊利益和需求。深入实施全民参保计划,对不同重点群体分类施策,持续推动社会保险参保扩面,支持灵活就业女性参加相应社会保险,实现应保尽保,提高参保缴费质量,缩小社会保障的性别差距。扩大保障范围,统筹社会保障资源在城乡和社会群体之间的均衡配置,将保障范围由户籍人口逐渐扩大到常住人口。建立全区社会保险全民参保登记信息库,加强社会保障分性别统计、信息动态监测和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完善覆盖城乡妇女的生育保障制度。巩固扩大生育保险覆盖面,完善生育保险生育医疗费用支付及生育津贴政策。妥善解决妇女在就业和领取失业金期间生育保障问题。提高生育保险与职工基本医疗保险合并实施成效。加强城乡居民生育医疗费用保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4.促进妇女享有可持续多层次养老保险。建立健全以基本养老保险为基础、企业</w:t>
      </w:r>
      <w:r>
        <w:rPr>
          <w:rFonts w:hint="eastAsia" w:ascii="宋体" w:hAnsi="宋体" w:eastAsia="宋体" w:cs="宋体"/>
          <w:sz w:val="28"/>
          <w:szCs w:val="28"/>
          <w:lang w:eastAsia="zh-CN"/>
        </w:rPr>
        <w:t>（</w:t>
      </w:r>
      <w:r>
        <w:rPr>
          <w:rFonts w:hint="eastAsia" w:ascii="宋体" w:hAnsi="宋体" w:eastAsia="宋体" w:cs="宋体"/>
          <w:sz w:val="28"/>
          <w:szCs w:val="28"/>
        </w:rPr>
        <w:t>职业</w:t>
      </w:r>
      <w:r>
        <w:rPr>
          <w:rFonts w:hint="eastAsia" w:ascii="宋体" w:hAnsi="宋体" w:eastAsia="宋体" w:cs="宋体"/>
          <w:sz w:val="28"/>
          <w:szCs w:val="28"/>
          <w:lang w:eastAsia="zh-CN"/>
        </w:rPr>
        <w:t>）</w:t>
      </w:r>
      <w:r>
        <w:rPr>
          <w:rFonts w:hint="eastAsia" w:ascii="宋体" w:hAnsi="宋体" w:eastAsia="宋体" w:cs="宋体"/>
          <w:sz w:val="28"/>
          <w:szCs w:val="28"/>
        </w:rPr>
        <w:t>年金为补充、与个人储蓄性养老保险和商业养老保险相衔接的多层次、多支柱养老保险体系,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障水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保障女性失业保险权益。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适时制定特殊时期失业保障政策,支持稳定就业。</w:t>
      </w:r>
    </w:p>
    <w:p>
      <w:pPr>
        <w:pStyle w:val="18"/>
        <w:tabs>
          <w:tab w:val="left" w:pos="970"/>
        </w:tabs>
        <w:spacing w:line="360" w:lineRule="auto"/>
        <w:ind w:firstLine="560" w:firstLineChars="200"/>
        <w:rPr>
          <w:sz w:val="28"/>
          <w:szCs w:val="28"/>
        </w:rPr>
      </w:pPr>
      <w:r>
        <w:rPr>
          <w:rFonts w:hint="eastAsia"/>
          <w:sz w:val="28"/>
          <w:szCs w:val="28"/>
        </w:rPr>
        <w:t>6</w:t>
      </w:r>
      <w:r>
        <w:rPr>
          <w:rFonts w:hint="eastAsia"/>
          <w:sz w:val="28"/>
          <w:szCs w:val="28"/>
          <w:lang w:eastAsia="zh-CN"/>
        </w:rPr>
        <w:t>.</w:t>
      </w:r>
      <w:r>
        <w:rPr>
          <w:rFonts w:hint="eastAsia"/>
          <w:sz w:val="28"/>
          <w:szCs w:val="28"/>
        </w:rPr>
        <w:t>扩大妇女工伤保险覆盖面。</w:t>
      </w:r>
      <w:r>
        <w:rPr>
          <w:rFonts w:hint="eastAsia"/>
          <w:color w:val="000000"/>
        </w:rPr>
        <w:t>督促用人单位依法为女职工办理工伤保险，注重为高风险行业女职工投保。城乡从业妇女依法享有工伤保险，女职工工伤保险实现全覆盖。保障因工伤亡女性享有保险权益。优化女职工的工作劳动环境，完善女职工特殊劳动保护，降低工伤风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强化社会救助对生活困难妇女的兜底保障。推进法律实施,强化政策衔接,建立健全分层分类的社会救助体系,健全基本生活救助制度和医疗救助、教育救助、住房救助、就业救助、受灾人员救助等专项救助制度,完善临时救助政策措施,强化急难社会救助功能,织密织牢社会救助兜底保障网。积极发展服务类社会救助,推进政府购买社会救助服务,确保符合条件的妇女应救尽救。鼓励、支持慈善组织依法依规为生活困难妇女提供救助帮扶。按照上级部署，建立统一的救助信息平台,加强社会救助分性别统计、信息动态监测和管理,精准识别救助对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不断满足妇女群体的社会福利需求。完善老年人津补贴制度,统筹高龄津贴、护理补贴、服务补贴等政策,完善经济困难高龄失能老年人补贴制度,落实各项补贴待遇,逐步提升老年妇女福利水平。完善残疾人补贴制度,动态调整、合理确定困难残疾人生活补贴和重度残疾人护理补贴标准,扩大适合残疾妇女特殊需要的公共服务供给。</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保障妇女享有基本养老服务。大力发展政府兜底保障型养老、社区居家养老、社会化中高端养老相结合的养老模式，加快推进居家社区机构相协调、医养康养相结合的养老服务体系建设，提升养老服务网络的覆盖面和服务能力，建成社区15分钟居家养老服务圈，实施普惠养老城企联动专项行动和普惠托育服务专项行动。实施特困人员供养服务机构改造提升工程，谋划建设高质量养老服务机构。至少建有1所以失能、部分失能特困人员专业照护为主的符合三星级以上标准县级供养服务设施（敬老院）。将镇级敬老院转型为居家社区养老服务机构，提供具备全托、日托、上门服务、对下指导等综合功能的居家社区养老服务。加大社区养老服务设施建设力度，将社区居家养老服务设施纳入城乡社区配套用房建设范围。调整完善养老服务设施分区分级规划编制，落实新建住宅小区与配套养老服务设施“四同步”要求。促进养老机构提供多元化、便利化、个性化服务，提高老年妇女生活照料、家政服务、精神慰藉、护理保健、辅具配置、紧急救援等服务水平。扩大普惠型养老服务供给，支持社会力量提供养老服务，支持邻里之间的互助性养老。加大养老护理型人才培养力度，建设高素质、专业化的养老服务队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提高对妇女的关爱服务水平。对农村留守妇女进行摸底排查,建立完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完善困境妇女定期探访关爱制度。</w:t>
      </w:r>
    </w:p>
    <w:p>
      <w:pPr>
        <w:pStyle w:val="5"/>
        <w:spacing w:before="156"/>
        <w:ind w:firstLine="602"/>
        <w:rPr>
          <w:sz w:val="30"/>
          <w:szCs w:val="30"/>
          <w:lang w:val="zh-TW" w:eastAsia="zh-CN" w:bidi="zh-TW"/>
        </w:rPr>
      </w:pPr>
      <w:bookmarkStart w:id="9" w:name="_Toc25411"/>
      <w:r>
        <w:rPr>
          <w:rFonts w:hint="eastAsia"/>
          <w:sz w:val="30"/>
          <w:szCs w:val="30"/>
          <w:lang w:val="zh-TW" w:eastAsia="zh-TW" w:bidi="zh-TW"/>
        </w:rPr>
        <w:t>（六）妇女与家庭建设</w:t>
      </w:r>
      <w:bookmarkEnd w:id="9"/>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1.树立新时代家庭观,弘扬爱国爱家、相亲相爱、向上向善、共建共享的社会主义家庭文明新风尚,推动社会主义核心价值观在家庭落地生根。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2.实施促进男女平等和妇女全面发展的家庭政策,增强家庭功能,提升家庭发展能力。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3.拓展支持家庭与妇女全面发展的公共服务,构建城市社区“15分钟生活圈”、农村社区“半小时生活圈”,千兆宽带网络家庭普及率超过30%。</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4.注重发挥家庭家教家风在基层社会治理中的重要作用。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5.充分发挥妇女在家庭生活中的独特作用,弘扬中华民族家庭美德，传承潮汕优秀家风，支持妇女成为幸福安康家庭的建设者、倡导者。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6.倡导构建男女平等、和睦、文明的婚姻家庭关系,降低婚姻家庭纠纷对妇女发展的不利影响。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7.倡导和支持男女共担家务,缩小两性家务劳动时间差距。</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8.支持家庭承担赡养老人责任,不断提升老年妇女家庭生活质量。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9.促进夫妻共同承担未成年子女的抚养、教育、保护责任,为未成年子女身心发展创造良好家庭环境。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10.加强家庭社会工作专业人才队伍培养,全区乡镇</w:t>
      </w:r>
      <w:r>
        <w:rPr>
          <w:rFonts w:hint="eastAsia" w:ascii="宋体" w:hAnsi="宋体" w:eastAsia="宋体" w:cs="宋体"/>
          <w:sz w:val="28"/>
          <w:szCs w:val="28"/>
          <w:lang w:eastAsia="zh-CN"/>
        </w:rPr>
        <w:t>（</w:t>
      </w:r>
      <w:r>
        <w:rPr>
          <w:rFonts w:hint="eastAsia" w:ascii="宋体" w:hAnsi="宋体" w:eastAsia="宋体" w:cs="宋体"/>
          <w:sz w:val="28"/>
          <w:szCs w:val="28"/>
        </w:rPr>
        <w:t>街道</w:t>
      </w:r>
      <w:r>
        <w:rPr>
          <w:rFonts w:hint="eastAsia" w:ascii="宋体" w:hAnsi="宋体" w:eastAsia="宋体" w:cs="宋体"/>
          <w:sz w:val="28"/>
          <w:szCs w:val="28"/>
          <w:lang w:eastAsia="zh-CN"/>
        </w:rPr>
        <w:t>）</w:t>
      </w:r>
      <w:r>
        <w:rPr>
          <w:rFonts w:hint="eastAsia" w:ascii="宋体" w:hAnsi="宋体" w:eastAsia="宋体" w:cs="宋体"/>
          <w:sz w:val="28"/>
          <w:szCs w:val="28"/>
        </w:rPr>
        <w:t>社会工作服务站覆盖率达到100%,困难群众和特殊群众社会工作服务覆盖率达到100%。</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实施促进男女平等和妇女全面发展的家庭政策。落实人口生育相关法规政策,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落实生育奖励假制度和配偶陪产假制度,实施父母育儿假。建立促进家庭发展的政策评估机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15分钟生活圈”,城市社区综合服务设施实现全覆盖。加强社区托育服务设施建设,完善社区养老托育、家政物业等服务网络和线上平台。发展数字家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鼓励支持妇女在家庭生活中发挥独特作用。弘扬中华民族家庭美德，传承潮汕优秀家风，深入实施“南粤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加强对广播电视、网络等婚恋活动和服务的规范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加强婚姻家庭纠纷预防化解工作。健全婚姻家庭纠纷预防化解工作机制,发挥综治中心和网格化服务管理作用,强化衔接联动,加强婚姻家庭纠纷预测预防预警,健全纠纷排查调处制度。推动区、镇（街道）建立婚姻家庭纠纷人民调解委员会,建设人民调解员队伍,搭建“互联网+”纠纷预防化解工作平台,支持社会力量参与,提供多元便捷服务。根据上级部署，推进家事审判制度改革,加强诉调对接平台建设,构建新型家事纠纷综合协调解决模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增强父母共同承担家庭教育责任的意识和能力。实施家庭教育法律法规,促进父母共同落实家庭教育主体责任,共同参与未成年子女家庭教育,创造有利于未成年子女健康成长和发展的家庭环境。通过网络媒体定期推送、亲子活动、主题讲座等方式开展宣传培训,帮助父母树立科学家庭教育理念,摒弃“重智轻德”等观念,掌握科学知识和方法,注重言传身教,关注未成年子女身心健康,提高家庭科学育儿能力。鼓励父母加强亲子交流,提高陪伴质量,共同陪伴未成年子女成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提升家庭社会工作专业化服务水平。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w:t>
      </w:r>
    </w:p>
    <w:p>
      <w:pPr>
        <w:pStyle w:val="5"/>
        <w:spacing w:before="156"/>
        <w:ind w:firstLine="602"/>
        <w:rPr>
          <w:sz w:val="30"/>
          <w:szCs w:val="30"/>
          <w:lang w:val="zh-TW" w:eastAsia="zh-CN" w:bidi="zh-TW"/>
        </w:rPr>
      </w:pPr>
      <w:bookmarkStart w:id="10" w:name="_Toc14823"/>
      <w:r>
        <w:rPr>
          <w:rFonts w:hint="eastAsia"/>
          <w:sz w:val="30"/>
          <w:szCs w:val="30"/>
          <w:lang w:val="zh-TW" w:eastAsia="zh-TW" w:bidi="zh-TW"/>
        </w:rPr>
        <w:t>（七）妇女与环境</w:t>
      </w:r>
      <w:bookmarkEnd w:id="10"/>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1.健全文化与传媒领域的性别平等评估和监管机制。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2.全面提升妇女的媒介素养,提高妇女利用信息技术参与新时代经济社会高质量发展的能力。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3.提高妇女的生态文明意识,促进妇女践行绿色发展理念,做生态文明建设的推动者和践行者。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4.减少环境污染对妇女健康的危害。农村自来水普及率巩固在99%以上，强化城市集中式饮用水水源保护。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5.农村无害化卫生厕所实现全覆盖,城镇公共厕所男女厕位比例标准化建设与实际需求相适应。</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6.妇女应对突发事件能力不断提高,作用得到发挥,特殊需求得到满足。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7.提高基本公共文化服务的覆盖面和适用性,妇女享有公共文化服务水平不断提高。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8.加强公共场所母婴室建设,实现大型公共场所母婴室全覆盖。</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加强文化与传媒领域性别平等培训、评估和监管。开展对文化传媒工作者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提高媒体决策和管理者及从业人员的性别意识。逐步实现性别平等审视的制度化和常态化,为妇女发展创设友好舆论环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引导妇女提高媒介素养。利用学校、妇女之家、图书馆、网络课堂等开展面向妇女的媒介素养培训和指导,加强妇女网络素养教育,提升妇女对媒介信息选择、判断和有效利用的能力,提升妇女网络安全意识和能力,消除性别数字鸿沟。重点帮助老年妇女、困难妇女和残疾妇女群体掌握网络基本知识技能。开展争做“巾帼好网民”活动,推动妇女弘扬网上正能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促进妇女共建共享城乡人居环境改善成果。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改善人居环境,保障城乡妇女饮水安全。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市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加强符合妇女需求的卫生厕所建设。推进城镇公共厕所改造,完善落实城镇公共厕所设计标准,推动将男女厕位比例的规范化建设和达标率纳入文明社区、文明村镇、文明单位、文明校园的评选标准。城镇公共厕所在新建和改建时,女厕位与男厕位的比例不小于1.5</w:t>
      </w:r>
      <w:r>
        <w:rPr>
          <w:rFonts w:hint="eastAsia" w:ascii="宋体" w:hAnsi="宋体" w:eastAsia="宋体" w:cs="宋体"/>
          <w:sz w:val="28"/>
          <w:szCs w:val="28"/>
          <w:lang w:eastAsia="zh-CN"/>
        </w:rPr>
        <w:t>：</w:t>
      </w:r>
      <w:r>
        <w:rPr>
          <w:rFonts w:hint="eastAsia" w:ascii="宋体" w:hAnsi="宋体" w:eastAsia="宋体" w:cs="宋体"/>
          <w:sz w:val="28"/>
          <w:szCs w:val="28"/>
        </w:rPr>
        <w:t>1,人流量较大地区不小于2</w:t>
      </w:r>
      <w:r>
        <w:rPr>
          <w:rFonts w:hint="eastAsia" w:ascii="宋体" w:hAnsi="宋体" w:eastAsia="宋体" w:cs="宋体"/>
          <w:sz w:val="28"/>
          <w:szCs w:val="28"/>
          <w:lang w:eastAsia="zh-CN"/>
        </w:rPr>
        <w:t>：</w:t>
      </w:r>
      <w:r>
        <w:rPr>
          <w:rFonts w:hint="eastAsia" w:ascii="宋体" w:hAnsi="宋体" w:eastAsia="宋体" w:cs="宋体"/>
          <w:sz w:val="28"/>
          <w:szCs w:val="28"/>
        </w:rPr>
        <w:t>1。分类有序推进农村厕所革命,提高卫生厕所普及率,加强厕所粪污无害化处理与资源化利用。推动旅游景区、商场、客流超过1万人次的交通枢纽和服务区等公共场所建设第三卫生间。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保障妇女享有公共文化服务权益。丰富优质文化产品和公共文化服务供给,健全城乡公共文化服务体系,加强公共文化设施建设,满足妇女精神文化需求。强化服务网络和妇女儿童阵地文化活动功能,鼓励图书室设立妇女读书专栏</w:t>
      </w:r>
      <w:r>
        <w:rPr>
          <w:rFonts w:hint="eastAsia" w:ascii="宋体" w:hAnsi="宋体" w:eastAsia="宋体" w:cs="宋体"/>
          <w:sz w:val="28"/>
          <w:szCs w:val="28"/>
          <w:lang w:eastAsia="zh-CN"/>
        </w:rPr>
        <w:t>（</w:t>
      </w:r>
      <w:r>
        <w:rPr>
          <w:rFonts w:hint="eastAsia" w:ascii="宋体" w:hAnsi="宋体" w:eastAsia="宋体" w:cs="宋体"/>
          <w:sz w:val="28"/>
          <w:szCs w:val="28"/>
        </w:rPr>
        <w:t>专柜</w:t>
      </w:r>
      <w:r>
        <w:rPr>
          <w:rFonts w:hint="eastAsia" w:ascii="宋体" w:hAnsi="宋体" w:eastAsia="宋体" w:cs="宋体"/>
          <w:sz w:val="28"/>
          <w:szCs w:val="28"/>
          <w:lang w:eastAsia="zh-CN"/>
        </w:rPr>
        <w:t>）</w:t>
      </w:r>
      <w:r>
        <w:rPr>
          <w:rFonts w:hint="eastAsia" w:ascii="宋体" w:hAnsi="宋体" w:eastAsia="宋体" w:cs="宋体"/>
          <w:sz w:val="28"/>
          <w:szCs w:val="28"/>
        </w:rPr>
        <w:t>,鼓励支持提供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加强公共场所母婴室建设。加强公共场所母婴室的标准化建设和规范化管理。在公共交通运输场所和公共服务机构、公共场所，建筑面积超过1万平方米或者日人流量超过1万人的其他场所，建设母婴室。鼓励公共场所和企事业单位</w:t>
      </w:r>
      <w:r>
        <w:rPr>
          <w:rFonts w:hint="eastAsia" w:ascii="宋体" w:hAnsi="宋体" w:eastAsia="宋体" w:cs="宋体"/>
          <w:sz w:val="28"/>
          <w:szCs w:val="28"/>
          <w:lang w:eastAsia="zh-CN"/>
        </w:rPr>
        <w:t>（</w:t>
      </w:r>
      <w:r>
        <w:rPr>
          <w:rFonts w:hint="eastAsia" w:ascii="宋体" w:hAnsi="宋体" w:eastAsia="宋体" w:cs="宋体"/>
          <w:sz w:val="28"/>
          <w:szCs w:val="28"/>
        </w:rPr>
        <w:t>机构</w:t>
      </w:r>
      <w:r>
        <w:rPr>
          <w:rFonts w:hint="eastAsia" w:ascii="宋体" w:hAnsi="宋体" w:eastAsia="宋体" w:cs="宋体"/>
          <w:sz w:val="28"/>
          <w:szCs w:val="28"/>
          <w:lang w:eastAsia="zh-CN"/>
        </w:rPr>
        <w:t>）</w:t>
      </w:r>
      <w:r>
        <w:rPr>
          <w:rFonts w:hint="eastAsia" w:ascii="宋体" w:hAnsi="宋体" w:eastAsia="宋体" w:cs="宋体"/>
          <w:sz w:val="28"/>
          <w:szCs w:val="28"/>
        </w:rPr>
        <w:t>设置母婴室或增加母乳喂养设施。健全母婴室运行管理制度,做好日常安全管理和维护。</w:t>
      </w:r>
    </w:p>
    <w:p>
      <w:pPr>
        <w:pStyle w:val="5"/>
        <w:spacing w:before="156"/>
        <w:ind w:firstLine="602"/>
        <w:rPr>
          <w:sz w:val="30"/>
          <w:szCs w:val="30"/>
          <w:lang w:val="zh-TW" w:eastAsia="zh-CN" w:bidi="zh-TW"/>
        </w:rPr>
      </w:pPr>
      <w:bookmarkStart w:id="11" w:name="_Toc25572"/>
      <w:r>
        <w:rPr>
          <w:rFonts w:hint="eastAsia"/>
          <w:sz w:val="30"/>
          <w:szCs w:val="30"/>
          <w:lang w:val="zh-TW" w:eastAsia="zh-TW" w:bidi="zh-TW"/>
        </w:rPr>
        <w:t>（八）妇女与法律</w:t>
      </w:r>
      <w:bookmarkEnd w:id="11"/>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主要目标</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1.全面贯彻落实男女平等宪法原则和基本国策。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2.促进法规政策性别平等评估机制规范化建设和有效运行。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3.提高妇女尊法学法守法用法的意识和能力。充分发挥妇女在法治揭东建设中的作用。</w:t>
      </w:r>
    </w:p>
    <w:p>
      <w:pPr>
        <w:pStyle w:val="18"/>
        <w:spacing w:line="360" w:lineRule="auto"/>
        <w:ind w:firstLine="560" w:firstLineChars="200"/>
        <w:jc w:val="left"/>
        <w:rPr>
          <w:sz w:val="28"/>
          <w:szCs w:val="28"/>
          <w:lang w:eastAsia="zh-CN"/>
        </w:rPr>
      </w:pPr>
      <w:r>
        <w:rPr>
          <w:rFonts w:hint="eastAsia"/>
          <w:sz w:val="28"/>
          <w:szCs w:val="28"/>
        </w:rPr>
        <w:t>4</w:t>
      </w:r>
      <w:r>
        <w:rPr>
          <w:rFonts w:hint="eastAsia"/>
          <w:sz w:val="28"/>
          <w:szCs w:val="28"/>
          <w:lang w:eastAsia="zh-CN"/>
        </w:rPr>
        <w:t>.</w:t>
      </w:r>
      <w:r>
        <w:rPr>
          <w:rFonts w:hint="eastAsia"/>
          <w:sz w:val="28"/>
          <w:szCs w:val="28"/>
        </w:rPr>
        <w:t>深入实施反家庭暴力法,预防和制止针对妇女一切形式的家庭暴力,加强受害妇女救助。区设立1个以上家庭暴力庇护场所。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5.严厉打击拐卖、性侵害妇女,卖淫嫖娼等违法犯罪行为。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6.严厉打击利用网络对妇女实施的违法犯罪行为。提高侵害妇女人身权益的刑事案件破案率和结案率。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7.提升预防和制止性骚扰的法治意识,有效遏制针对妇女的性骚扰。</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8.保障妇女在家庭关系中的财产所有权、继承权、子女抚养权,保障妇女对婚姻家庭关系中共同财产享有知情权和平等处理权。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9.保障妇女平等获得公共法律服务。保障遭受侵害妇女获得及时有效的司法救助。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10.建立完善女性被害人保护救助支持体系。</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策略措施</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将男女平等宪法原则和基本国策贯彻落实到法治揭东建设全过程。严格实施保障妇女合法权益的法规政策。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加强法规政策性别平等评估工作。健全政策性别平等评估机制,明确评估主体和范围,规范评估流程,细化评估指标。开展性别平等评估相关培训,加强专业化队伍建设,将男女平等基本国策落实在法规、规章的实施和政策制定实施全过程各环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提升妇女法治意识和参与法治揭东建设的能力。深入开展宪法和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加大反家庭暴力法律法规的实施力度。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坚决打击拐卖妇女犯罪。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化整治机制,鼓励群众监督和举报涉黄违法犯罪行为。</w:t>
      </w:r>
    </w:p>
    <w:p>
      <w:pPr>
        <w:pStyle w:val="16"/>
        <w:ind w:firstLine="560"/>
      </w:pPr>
      <w:r>
        <w:rPr>
          <w:rFonts w:hint="eastAsia" w:ascii="宋体" w:hAnsi="宋体" w:cs="宋体"/>
          <w:sz w:val="28"/>
          <w:szCs w:val="28"/>
        </w:rPr>
        <w:t>7、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Style w:val="18"/>
        <w:spacing w:line="574" w:lineRule="exact"/>
        <w:ind w:firstLine="620"/>
        <w:rPr>
          <w:color w:val="000000"/>
          <w:kern w:val="0"/>
          <w:sz w:val="28"/>
          <w:szCs w:val="28"/>
          <w:lang w:eastAsia="zh-CN"/>
        </w:rPr>
      </w:pPr>
      <w:r>
        <w:rPr>
          <w:rFonts w:hint="eastAsia"/>
          <w:sz w:val="28"/>
          <w:szCs w:val="28"/>
        </w:rPr>
        <w:t>8.有效遏制和严厉惩处强奸、猥亵、侮辱妇女特别是女童和智力、精神残疾妇女的违法犯罪行为</w:t>
      </w:r>
      <w:r>
        <w:rPr>
          <w:rFonts w:hint="eastAsia"/>
          <w:color w:val="000000"/>
          <w:kern w:val="0"/>
          <w:sz w:val="28"/>
          <w:szCs w:val="28"/>
          <w:lang w:eastAsia="zh-CN"/>
        </w:rPr>
        <w:t>。</w:t>
      </w:r>
      <w:r>
        <w:rPr>
          <w:rFonts w:hint="eastAsia"/>
          <w:color w:val="000000"/>
          <w:kern w:val="0"/>
          <w:sz w:val="28"/>
          <w:szCs w:val="28"/>
          <w:lang w:val="en-US" w:eastAsia="zh-CN"/>
        </w:rPr>
        <w:t>加强有关法律法规宣传普及，提高群众法律意识，在全社会形成预防性侵害宣传氛围。举办反侵防侵宣传活动，提升妇女尤其是女童的防性侵意识和能力,提高家长保护未成年子女的意识。</w:t>
      </w:r>
      <w:r>
        <w:rPr>
          <w:rFonts w:hint="eastAsia"/>
          <w:color w:val="000000"/>
          <w:kern w:val="0"/>
          <w:sz w:val="28"/>
          <w:szCs w:val="28"/>
          <w:lang w:eastAsia="zh-CN"/>
        </w:rPr>
        <w:t>坚持以“零容忍”的态度，持续开展打击性侵害犯罪专项行动。建立完善重点人群和家庭关爱服务机制、侵权案件发现报告机制、多部门联防联动机制和侵权案件推进工作督查制度。完善立案侦查制度,及时、全面、一次性收集固定证据,避免受害妇女遭受“二次伤害”。加强重点场所</w:t>
      </w:r>
      <w:r>
        <w:rPr>
          <w:rFonts w:hint="eastAsia"/>
          <w:color w:val="000000"/>
          <w:kern w:val="0"/>
          <w:sz w:val="28"/>
          <w:szCs w:val="28"/>
          <w:lang w:val="en-US" w:eastAsia="zh-CN"/>
        </w:rPr>
        <w:t>及有性侵害前科人员</w:t>
      </w:r>
      <w:r>
        <w:rPr>
          <w:rFonts w:hint="eastAsia"/>
          <w:color w:val="000000"/>
          <w:kern w:val="0"/>
          <w:sz w:val="28"/>
          <w:szCs w:val="28"/>
          <w:lang w:eastAsia="zh-CN"/>
        </w:rPr>
        <w:t>动态管控。建立性侵害违法犯罪人员信息查询系统,完善和落实从业禁止制度。加强对受害妇女的隐私保护、心理辅导和干预。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预防和制止针对妇女的性骚扰。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为妇女提供优质高效的公共法律服务。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建立健全妇女被害人保护救助支持体系。依法保护妇女被害人隐私。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pStyle w:val="4"/>
        <w:spacing w:before="156"/>
        <w:ind w:firstLine="643"/>
        <w:rPr>
          <w:sz w:val="32"/>
          <w:szCs w:val="48"/>
          <w:lang w:val="zh-TW" w:eastAsia="zh-TW" w:bidi="zh-TW"/>
        </w:rPr>
      </w:pPr>
      <w:bookmarkStart w:id="12" w:name="_Toc20450"/>
      <w:r>
        <w:rPr>
          <w:rFonts w:hint="eastAsia"/>
          <w:sz w:val="32"/>
          <w:szCs w:val="48"/>
          <w:lang w:val="zh-TW" w:eastAsia="zh-TW" w:bidi="zh-TW"/>
        </w:rPr>
        <w:t>三、重点工程</w:t>
      </w:r>
      <w:bookmarkEnd w:id="12"/>
    </w:p>
    <w:p>
      <w:pPr>
        <w:pStyle w:val="5"/>
        <w:spacing w:before="156"/>
        <w:ind w:firstLine="602"/>
        <w:rPr>
          <w:sz w:val="30"/>
          <w:szCs w:val="30"/>
          <w:lang w:val="zh-TW" w:eastAsia="zh-CN" w:bidi="zh-TW"/>
        </w:rPr>
      </w:pPr>
      <w:bookmarkStart w:id="13" w:name="_Toc13049"/>
      <w:bookmarkStart w:id="14" w:name="_Toc98223432"/>
      <w:r>
        <w:rPr>
          <w:rFonts w:hint="eastAsia"/>
          <w:sz w:val="30"/>
          <w:szCs w:val="30"/>
          <w:lang w:val="zh-TW" w:eastAsia="zh-TW" w:bidi="zh-TW"/>
        </w:rPr>
        <w:t>（一）南粤妇幼健康保护工程</w:t>
      </w:r>
      <w:bookmarkEnd w:id="13"/>
      <w:bookmarkEnd w:id="14"/>
    </w:p>
    <w:p>
      <w:pPr>
        <w:pStyle w:val="18"/>
        <w:spacing w:line="574" w:lineRule="exact"/>
        <w:ind w:firstLine="620"/>
        <w:rPr>
          <w:color w:val="000000"/>
          <w:kern w:val="0"/>
          <w:sz w:val="28"/>
          <w:szCs w:val="28"/>
          <w:lang w:eastAsia="zh-CN"/>
        </w:rPr>
      </w:pPr>
      <w:r>
        <w:rPr>
          <w:rFonts w:hint="eastAsia"/>
          <w:color w:val="000000"/>
          <w:kern w:val="0"/>
          <w:sz w:val="28"/>
          <w:szCs w:val="28"/>
          <w:lang w:eastAsia="zh-CN"/>
        </w:rPr>
        <w:t>实施消除艾滋病、梅毒和乙肝病毒母婴传播项目。适龄妇女乳腺癌人群筛查率逐步提高,宫颈癌人群筛查率达到70%以上,逐步将人乳头瘤病毒（HPV）疫苗接种纳入公共卫生服务。落实母婴安全五项制度、完善市、县重症孕产妇救治、重症新生儿救治、出生缺陷综合干预体系建设。建立快速转运通道，提高孕产妇和新生儿医疗保健救治能力。孕产妇死亡率下降到8/10万以下。实现每千名儿童至少拥有儿科执业（助理）医生1.12名、床位3.17张。适龄儿童免疫规划疫苗接种率以乡镇（街道）为单位保持在90%以上。</w:t>
      </w:r>
    </w:p>
    <w:p>
      <w:pPr>
        <w:pStyle w:val="18"/>
        <w:spacing w:line="574" w:lineRule="exact"/>
        <w:ind w:firstLine="620"/>
        <w:rPr>
          <w:color w:val="000000"/>
          <w:kern w:val="0"/>
          <w:sz w:val="28"/>
          <w:szCs w:val="28"/>
          <w:lang w:eastAsia="zh-CN"/>
        </w:rPr>
      </w:pPr>
      <w:r>
        <w:rPr>
          <w:rFonts w:hint="eastAsia"/>
          <w:color w:val="000000"/>
          <w:kern w:val="0"/>
          <w:sz w:val="28"/>
          <w:szCs w:val="28"/>
          <w:lang w:val="en-US" w:eastAsia="zh-CN"/>
        </w:rPr>
        <w:t>推进落实</w:t>
      </w:r>
      <w:r>
        <w:rPr>
          <w:rFonts w:hint="eastAsia"/>
          <w:color w:val="000000"/>
          <w:kern w:val="0"/>
          <w:sz w:val="28"/>
          <w:szCs w:val="28"/>
          <w:lang w:eastAsia="zh-CN"/>
        </w:rPr>
        <w:t>“</w:t>
      </w:r>
      <w:r>
        <w:rPr>
          <w:rFonts w:hint="eastAsia"/>
          <w:color w:val="000000"/>
          <w:kern w:val="0"/>
          <w:sz w:val="28"/>
          <w:szCs w:val="28"/>
          <w:lang w:val="en-US" w:eastAsia="zh-CN"/>
        </w:rPr>
        <w:t>揭阳妇幼</w:t>
      </w:r>
      <w:r>
        <w:rPr>
          <w:rFonts w:hint="eastAsia"/>
          <w:color w:val="000000"/>
          <w:kern w:val="0"/>
          <w:sz w:val="28"/>
          <w:szCs w:val="28"/>
          <w:lang w:eastAsia="zh-CN"/>
        </w:rPr>
        <w:t>健康提升计划”，健全国民体质监测服务体系，加强体质测试和健身指导服务，加快建设一批公共体育场馆、户外健身场地和生态体育公园，实现公共体育服务城乡全覆盖，城乡建成“十五分钟健身圈”。结合揭东实际，因地制宜开展</w:t>
      </w:r>
      <w:r>
        <w:rPr>
          <w:rFonts w:hint="eastAsia"/>
          <w:color w:val="000000"/>
          <w:kern w:val="0"/>
          <w:sz w:val="28"/>
          <w:szCs w:val="28"/>
          <w:lang w:val="en-US" w:eastAsia="zh-CN"/>
        </w:rPr>
        <w:t>舞</w:t>
      </w:r>
      <w:r>
        <w:rPr>
          <w:rFonts w:hint="eastAsia"/>
          <w:color w:val="000000"/>
          <w:kern w:val="0"/>
          <w:sz w:val="28"/>
          <w:szCs w:val="28"/>
          <w:lang w:eastAsia="zh-CN"/>
        </w:rPr>
        <w:t>狮、</w:t>
      </w:r>
      <w:r>
        <w:rPr>
          <w:rFonts w:hint="eastAsia"/>
          <w:color w:val="000000"/>
          <w:kern w:val="0"/>
          <w:sz w:val="28"/>
          <w:szCs w:val="28"/>
          <w:lang w:val="en-US" w:eastAsia="zh-CN"/>
        </w:rPr>
        <w:t>龙舟</w:t>
      </w:r>
      <w:r>
        <w:rPr>
          <w:rFonts w:hint="eastAsia"/>
          <w:color w:val="000000"/>
          <w:kern w:val="0"/>
          <w:sz w:val="28"/>
          <w:szCs w:val="28"/>
          <w:lang w:eastAsia="zh-CN"/>
        </w:rPr>
        <w:t>、放风筝、武术、转陀螺等潮汕传统体育项目，推动健身行动，增强妇女儿童身体素质。</w:t>
      </w:r>
    </w:p>
    <w:p>
      <w:pPr>
        <w:pStyle w:val="18"/>
        <w:spacing w:line="574" w:lineRule="exact"/>
        <w:ind w:firstLine="620"/>
        <w:rPr>
          <w:kern w:val="0"/>
          <w:lang w:eastAsia="zh-CN"/>
        </w:rPr>
      </w:pPr>
      <w:bookmarkStart w:id="15" w:name="_Toc98223433"/>
      <w:bookmarkStart w:id="16" w:name="_Toc9646"/>
      <w:r>
        <w:rPr>
          <w:rFonts w:hint="eastAsia" w:ascii="Cambria" w:hAnsi="Cambria" w:eastAsia="宋体" w:cs="Times New Roman"/>
          <w:b/>
          <w:bCs/>
          <w:color w:val="000000"/>
          <w:kern w:val="0"/>
          <w:sz w:val="30"/>
          <w:szCs w:val="30"/>
          <w:lang w:val="zh-TW" w:eastAsia="zh-TW" w:bidi="zh-TW"/>
        </w:rPr>
        <w:t>（二）南粤巾帼家政领跑者工程</w:t>
      </w:r>
      <w:bookmarkEnd w:id="15"/>
      <w:bookmarkEnd w:id="16"/>
    </w:p>
    <w:p>
      <w:pPr>
        <w:pStyle w:val="18"/>
        <w:spacing w:line="574" w:lineRule="exact"/>
        <w:ind w:firstLine="620"/>
        <w:rPr>
          <w:color w:val="000000"/>
          <w:kern w:val="0"/>
          <w:sz w:val="28"/>
          <w:szCs w:val="28"/>
          <w:lang w:eastAsia="zh-CN"/>
        </w:rPr>
      </w:pPr>
      <w:r>
        <w:rPr>
          <w:rFonts w:hint="eastAsia"/>
          <w:color w:val="000000"/>
          <w:kern w:val="0"/>
          <w:sz w:val="28"/>
          <w:szCs w:val="28"/>
          <w:lang w:eastAsia="zh-CN"/>
        </w:rPr>
        <w:t>依托“南粤家政”工程,重点实施母婴服务、居家服务、养老服务、医护服务四大项目,推动建设培养示范、综合服务、交流合作、行业发展四大平台。大力组织女性劳动力参加家政职业技能培训,促 进家政行业的就业创业。完善和落实社保补贴、吸纳就业补贴等扶持政策,推动员工制家政企业占比显著提高。进一步完善家政服务信用、标准、产业、保障体系。</w:t>
      </w:r>
    </w:p>
    <w:p>
      <w:pPr>
        <w:pStyle w:val="5"/>
        <w:spacing w:before="156"/>
        <w:ind w:firstLine="602"/>
        <w:rPr>
          <w:sz w:val="30"/>
          <w:szCs w:val="30"/>
          <w:lang w:val="zh-TW" w:eastAsia="zh-CN" w:bidi="zh-TW"/>
        </w:rPr>
      </w:pPr>
      <w:bookmarkStart w:id="17" w:name="_Toc98223434"/>
      <w:bookmarkStart w:id="18" w:name="_Toc1558"/>
      <w:r>
        <w:rPr>
          <w:rFonts w:hint="eastAsia"/>
          <w:sz w:val="30"/>
          <w:szCs w:val="30"/>
          <w:lang w:val="zh-TW" w:eastAsia="zh-TW" w:bidi="zh-TW"/>
        </w:rPr>
        <w:t>（三）妇女就业创业支持工程</w:t>
      </w:r>
      <w:bookmarkEnd w:id="17"/>
      <w:bookmarkEnd w:id="18"/>
    </w:p>
    <w:p>
      <w:pPr>
        <w:pStyle w:val="18"/>
        <w:spacing w:line="574" w:lineRule="exact"/>
        <w:ind w:firstLine="620"/>
        <w:rPr>
          <w:color w:val="000000"/>
          <w:kern w:val="0"/>
          <w:sz w:val="28"/>
          <w:szCs w:val="28"/>
          <w:lang w:eastAsia="zh-CN"/>
        </w:rPr>
      </w:pPr>
      <w:r>
        <w:rPr>
          <w:rFonts w:hint="eastAsia"/>
          <w:color w:val="000000"/>
          <w:kern w:val="0"/>
          <w:sz w:val="28"/>
          <w:szCs w:val="28"/>
          <w:lang w:eastAsia="zh-CN"/>
        </w:rPr>
        <w:t>深入推进职业教育提质扩容,优化职业教育办学体制机制,促进女性接受高质量职业教育,企业女职工接受职业技能培训的比例保持并巩固在95%以上。鼓励职业院校面向女性高校毕业生、女农民工、女职工等重点人群开展就业创业和职业技能培训。深入实施职业技能提升行动,推进“粤菜师傅</w:t>
      </w:r>
      <w:r>
        <w:rPr>
          <w:color w:val="000000"/>
          <w:kern w:val="0"/>
          <w:sz w:val="28"/>
          <w:szCs w:val="28"/>
          <w:lang w:eastAsia="zh-CN"/>
        </w:rPr>
        <w:t>”</w:t>
      </w:r>
      <w:r>
        <w:rPr>
          <w:rFonts w:hint="eastAsia"/>
          <w:color w:val="000000"/>
          <w:kern w:val="0"/>
          <w:sz w:val="28"/>
          <w:szCs w:val="28"/>
          <w:lang w:eastAsia="zh-CN"/>
        </w:rPr>
        <w:t>“广东技工</w:t>
      </w:r>
      <w:r>
        <w:rPr>
          <w:color w:val="000000"/>
          <w:kern w:val="0"/>
          <w:sz w:val="28"/>
          <w:szCs w:val="28"/>
          <w:lang w:eastAsia="zh-CN"/>
        </w:rPr>
        <w:t>”</w:t>
      </w:r>
      <w:r>
        <w:rPr>
          <w:rFonts w:hint="eastAsia"/>
          <w:color w:val="000000"/>
          <w:kern w:val="0"/>
          <w:sz w:val="28"/>
          <w:szCs w:val="28"/>
          <w:lang w:eastAsia="zh-CN"/>
        </w:rPr>
        <w:t>“南粤家政</w:t>
      </w:r>
      <w:r>
        <w:rPr>
          <w:color w:val="000000"/>
          <w:kern w:val="0"/>
          <w:sz w:val="28"/>
          <w:szCs w:val="28"/>
          <w:lang w:eastAsia="zh-CN"/>
        </w:rPr>
        <w:t>”</w:t>
      </w:r>
      <w:r>
        <w:rPr>
          <w:rFonts w:hint="eastAsia"/>
          <w:color w:val="000000"/>
          <w:kern w:val="0"/>
          <w:sz w:val="28"/>
          <w:szCs w:val="28"/>
          <w:lang w:eastAsia="zh-CN"/>
        </w:rPr>
        <w:t>三项工程高质量发展,促进妇女就业创业。优化升级援企稳岗政策,增加妇女就业岗位。组织开展线上或线下“南粤春暖”等就业招聘活动，大力促进高校毕业生就业和失业人员再就业</w:t>
      </w:r>
      <w:r>
        <w:rPr>
          <w:color w:val="000000"/>
          <w:kern w:val="0"/>
          <w:sz w:val="28"/>
          <w:szCs w:val="28"/>
          <w:lang w:eastAsia="zh-CN"/>
        </w:rPr>
        <w:t>。</w:t>
      </w:r>
      <w:r>
        <w:rPr>
          <w:rFonts w:hint="eastAsia"/>
          <w:color w:val="000000"/>
          <w:kern w:val="0"/>
          <w:sz w:val="28"/>
          <w:szCs w:val="28"/>
          <w:lang w:eastAsia="zh-CN"/>
        </w:rPr>
        <w:t>落实推进小额担保贷款贴息项目，助力妇女自主创业、灵活就业。</w:t>
      </w:r>
    </w:p>
    <w:p>
      <w:pPr>
        <w:pStyle w:val="18"/>
        <w:spacing w:line="574" w:lineRule="exact"/>
        <w:ind w:firstLine="620"/>
        <w:rPr>
          <w:color w:val="000000"/>
          <w:kern w:val="0"/>
          <w:sz w:val="28"/>
          <w:szCs w:val="28"/>
          <w:lang w:eastAsia="zh-CN"/>
        </w:rPr>
      </w:pPr>
      <w:r>
        <w:rPr>
          <w:rFonts w:hint="eastAsia"/>
          <w:color w:val="000000"/>
          <w:kern w:val="0"/>
          <w:sz w:val="28"/>
          <w:szCs w:val="28"/>
          <w:lang w:eastAsia="zh-CN"/>
        </w:rPr>
        <w:t>依托揭东区电子商务产业优势</w:t>
      </w:r>
      <w:r>
        <w:rPr>
          <w:color w:val="000000"/>
          <w:kern w:val="0"/>
          <w:sz w:val="28"/>
          <w:szCs w:val="28"/>
          <w:lang w:eastAsia="zh-CN"/>
        </w:rPr>
        <w:t>，</w:t>
      </w:r>
      <w:r>
        <w:rPr>
          <w:rFonts w:hint="eastAsia"/>
          <w:color w:val="000000"/>
          <w:kern w:val="0"/>
          <w:sz w:val="28"/>
          <w:szCs w:val="28"/>
          <w:lang w:eastAsia="zh-CN"/>
        </w:rPr>
        <w:t>加快培育直播电商、生鲜电商、跨境电商等新业态和新模式，</w:t>
      </w:r>
      <w:r>
        <w:rPr>
          <w:color w:val="000000"/>
          <w:kern w:val="0"/>
          <w:sz w:val="28"/>
          <w:szCs w:val="28"/>
          <w:lang w:eastAsia="zh-CN"/>
        </w:rPr>
        <w:t>对广大妇女开展电商运营、短视频创作、直播带货等创新创业培训和</w:t>
      </w:r>
      <w:r>
        <w:rPr>
          <w:rFonts w:hint="eastAsia"/>
          <w:color w:val="000000"/>
          <w:kern w:val="0"/>
          <w:sz w:val="28"/>
          <w:szCs w:val="28"/>
          <w:lang w:eastAsia="zh-CN"/>
        </w:rPr>
        <w:t>职业</w:t>
      </w:r>
      <w:r>
        <w:rPr>
          <w:color w:val="000000"/>
          <w:kern w:val="0"/>
          <w:sz w:val="28"/>
          <w:szCs w:val="28"/>
          <w:lang w:eastAsia="zh-CN"/>
        </w:rPr>
        <w:t>技能培训，提升妇女数字技能,引导广大妇女运用电子商务、微信平台等新技术,拓宽妇女创业致富新空间。</w:t>
      </w:r>
    </w:p>
    <w:p>
      <w:pPr>
        <w:pStyle w:val="5"/>
        <w:spacing w:before="156"/>
        <w:ind w:firstLine="602"/>
        <w:rPr>
          <w:sz w:val="30"/>
          <w:szCs w:val="30"/>
          <w:lang w:val="zh-TW" w:eastAsia="zh-CN" w:bidi="zh-TW"/>
        </w:rPr>
      </w:pPr>
      <w:bookmarkStart w:id="19" w:name="_Toc22007"/>
      <w:bookmarkStart w:id="20" w:name="_Toc98223435"/>
      <w:r>
        <w:rPr>
          <w:rFonts w:hint="eastAsia"/>
          <w:sz w:val="30"/>
          <w:szCs w:val="30"/>
          <w:lang w:val="zh-TW" w:eastAsia="zh-TW" w:bidi="zh-TW"/>
        </w:rPr>
        <w:t>（四）南粤巾帼乡村振兴工程</w:t>
      </w:r>
      <w:bookmarkEnd w:id="19"/>
      <w:bookmarkEnd w:id="20"/>
    </w:p>
    <w:p>
      <w:pPr>
        <w:pStyle w:val="18"/>
        <w:spacing w:line="574" w:lineRule="exact"/>
        <w:ind w:firstLine="0"/>
        <w:rPr>
          <w:color w:val="000000"/>
          <w:kern w:val="0"/>
          <w:sz w:val="28"/>
          <w:szCs w:val="28"/>
          <w:lang w:eastAsia="zh-CN"/>
        </w:rPr>
      </w:pPr>
      <w:r>
        <w:rPr>
          <w:rFonts w:hint="eastAsia"/>
          <w:color w:val="000000"/>
          <w:kern w:val="0"/>
          <w:sz w:val="28"/>
          <w:szCs w:val="28"/>
          <w:lang w:eastAsia="zh-CN"/>
        </w:rPr>
        <w:t>实施高素质女农民和“乡村振兴女致富带头人</w:t>
      </w:r>
      <w:r>
        <w:rPr>
          <w:color w:val="000000"/>
          <w:kern w:val="0"/>
          <w:sz w:val="28"/>
          <w:szCs w:val="28"/>
          <w:lang w:eastAsia="zh-CN"/>
        </w:rPr>
        <w:t>”</w:t>
      </w:r>
      <w:r>
        <w:rPr>
          <w:rFonts w:hint="eastAsia"/>
          <w:color w:val="000000"/>
          <w:kern w:val="0"/>
          <w:sz w:val="28"/>
          <w:szCs w:val="28"/>
          <w:lang w:eastAsia="zh-CN"/>
        </w:rPr>
        <w:t>培养计划,推动将农村妇女培训纳入政府普惠性培训计划,农村技能培训女性人数占总培训人数达50%左右。依托农职院、农函校、妇干校和妇女之家等阵地,为返乡下乡创业女性提供及时便利的政策咨询、项目对接、融资牵引等服务。积极发展特色农业，构建“一镇一业、一村一品”产业体系，鼓励发展乡村旅游、农家乐、文化、康养、电子商务等多样化经营。引领妇女积极参与农业农村现代化,巩固拓展脱贫攻坚</w:t>
      </w:r>
      <w:bookmarkStart w:id="29" w:name="_GoBack"/>
      <w:bookmarkEnd w:id="29"/>
      <w:r>
        <w:rPr>
          <w:rFonts w:hint="eastAsia"/>
          <w:color w:val="000000"/>
          <w:kern w:val="0"/>
          <w:sz w:val="28"/>
          <w:szCs w:val="28"/>
          <w:lang w:eastAsia="zh-CN"/>
        </w:rPr>
        <w:t>成果。发展潮汕竹编工艺、手钩花等潮汕妇女特色产业,打造妇女手工品牌。增强农村低收入妇女群体的可持续发展能力。</w:t>
      </w:r>
    </w:p>
    <w:p>
      <w:pPr>
        <w:pStyle w:val="18"/>
        <w:spacing w:line="574" w:lineRule="exact"/>
        <w:ind w:firstLine="620"/>
        <w:rPr>
          <w:color w:val="000000"/>
          <w:kern w:val="0"/>
          <w:sz w:val="28"/>
          <w:szCs w:val="28"/>
          <w:lang w:eastAsia="zh-CN"/>
        </w:rPr>
      </w:pPr>
      <w:r>
        <w:rPr>
          <w:rFonts w:hint="eastAsia"/>
          <w:kern w:val="0"/>
          <w:sz w:val="28"/>
          <w:szCs w:val="28"/>
          <w:lang w:eastAsia="zh-CN"/>
        </w:rPr>
        <w:t>动员妇女主动参与农村人居环境整治和乡村社会治理。</w:t>
      </w:r>
      <w:r>
        <w:rPr>
          <w:rFonts w:hint="eastAsia"/>
          <w:kern w:val="0"/>
          <w:sz w:val="28"/>
          <w:szCs w:val="28"/>
          <w:lang w:val="en-US" w:eastAsia="zh-CN"/>
        </w:rPr>
        <w:t>结合生态宜居美丽乡村建设，</w:t>
      </w:r>
      <w:r>
        <w:rPr>
          <w:rFonts w:hint="eastAsia"/>
          <w:kern w:val="0"/>
          <w:sz w:val="28"/>
          <w:szCs w:val="28"/>
          <w:lang w:eastAsia="zh-CN"/>
        </w:rPr>
        <w:t>围绕农村人居环境整治提升专项行动的部署要求，开展“绿色</w:t>
      </w:r>
      <w:r>
        <w:rPr>
          <w:rFonts w:hint="eastAsia"/>
          <w:kern w:val="0"/>
          <w:sz w:val="28"/>
          <w:szCs w:val="28"/>
          <w:lang w:val="en-US" w:eastAsia="zh-CN"/>
        </w:rPr>
        <w:t>揭东</w:t>
      </w:r>
      <w:r>
        <w:rPr>
          <w:rFonts w:hint="eastAsia"/>
          <w:kern w:val="0"/>
          <w:sz w:val="28"/>
          <w:szCs w:val="28"/>
          <w:lang w:eastAsia="zh-CN"/>
        </w:rPr>
        <w:t xml:space="preserve"> 美丽庭院”活</w:t>
      </w:r>
      <w:r>
        <w:rPr>
          <w:rFonts w:hint="eastAsia"/>
          <w:color w:val="000000"/>
          <w:kern w:val="0"/>
          <w:sz w:val="28"/>
          <w:szCs w:val="28"/>
          <w:lang w:eastAsia="zh-CN"/>
        </w:rPr>
        <w:t>动。积极推动潮汕祠堂、潮式院墅开展“绿化角”“庭院花圃”扮靓庭院环境，组织开展环境污染防治、庭院评比、邻里互助、敬老爱老等服务，实现“家里门外净起来、房前屋后绿起来、庭院环境美起来”。努力营造生态环境优美、人与自然和谐共处的绿色</w:t>
      </w:r>
      <w:r>
        <w:rPr>
          <w:rFonts w:hint="eastAsia"/>
          <w:color w:val="000000"/>
          <w:kern w:val="0"/>
          <w:sz w:val="28"/>
          <w:szCs w:val="28"/>
          <w:lang w:val="en-US" w:eastAsia="zh-CN"/>
        </w:rPr>
        <w:t>揭东</w:t>
      </w:r>
      <w:r>
        <w:rPr>
          <w:rFonts w:hint="eastAsia"/>
          <w:color w:val="000000"/>
          <w:kern w:val="0"/>
          <w:sz w:val="28"/>
          <w:szCs w:val="28"/>
          <w:lang w:eastAsia="zh-CN"/>
        </w:rPr>
        <w:t>、美丽</w:t>
      </w:r>
      <w:r>
        <w:rPr>
          <w:rFonts w:hint="eastAsia"/>
          <w:color w:val="000000"/>
          <w:kern w:val="0"/>
          <w:sz w:val="28"/>
          <w:szCs w:val="28"/>
          <w:lang w:val="en-US" w:eastAsia="zh-CN"/>
        </w:rPr>
        <w:t>揭东</w:t>
      </w:r>
      <w:r>
        <w:rPr>
          <w:rFonts w:hint="eastAsia"/>
          <w:color w:val="000000"/>
          <w:kern w:val="0"/>
          <w:sz w:val="28"/>
          <w:szCs w:val="28"/>
          <w:lang w:eastAsia="zh-CN"/>
        </w:rPr>
        <w:t>。促进妇女共建共享城乡人居环境改善成果。</w:t>
      </w:r>
    </w:p>
    <w:p>
      <w:pPr>
        <w:pStyle w:val="5"/>
        <w:spacing w:before="156"/>
        <w:ind w:firstLine="602"/>
        <w:rPr>
          <w:sz w:val="30"/>
          <w:szCs w:val="30"/>
          <w:lang w:val="zh-TW" w:eastAsia="zh-CN" w:bidi="zh-TW"/>
        </w:rPr>
      </w:pPr>
      <w:bookmarkStart w:id="21" w:name="_Toc98223436"/>
      <w:bookmarkStart w:id="22" w:name="_Toc754"/>
      <w:r>
        <w:rPr>
          <w:rFonts w:hint="eastAsia"/>
          <w:sz w:val="30"/>
          <w:szCs w:val="30"/>
          <w:lang w:val="zh-TW" w:eastAsia="zh-TW" w:bidi="zh-TW"/>
        </w:rPr>
        <w:t>（五）南粤家家幸福安康工程</w:t>
      </w:r>
      <w:bookmarkEnd w:id="21"/>
      <w:bookmarkEnd w:id="22"/>
    </w:p>
    <w:p>
      <w:pPr>
        <w:pStyle w:val="18"/>
        <w:spacing w:line="574" w:lineRule="exact"/>
        <w:ind w:firstLine="620"/>
        <w:rPr>
          <w:color w:val="000000"/>
          <w:kern w:val="0"/>
          <w:sz w:val="28"/>
          <w:szCs w:val="28"/>
          <w:lang w:eastAsia="zh-CN"/>
        </w:rPr>
      </w:pPr>
      <w:r>
        <w:rPr>
          <w:rFonts w:hint="eastAsia"/>
          <w:color w:val="000000"/>
          <w:kern w:val="0"/>
          <w:sz w:val="28"/>
          <w:szCs w:val="28"/>
          <w:lang w:eastAsia="zh-CN"/>
        </w:rPr>
        <w:t>实施家庭文明创建行动、家庭教育支持行动、家庭服务提升行动、家庭研究深化行动,逐步形成家庭教育指导服务体系,构建家校社共育格局,加快普惠婴幼儿托育服务建设,提升家庭支持服务能力,关爱困难家庭。将婚姻家庭纠纷排查化解纳入综治网格管理,婚姻家庭纠纷人民调解组织实现</w:t>
      </w:r>
      <w:r>
        <w:rPr>
          <w:rFonts w:hint="eastAsia"/>
          <w:color w:val="000000"/>
          <w:kern w:val="0"/>
          <w:sz w:val="28"/>
          <w:szCs w:val="28"/>
          <w:lang w:val="en-US" w:eastAsia="zh-CN"/>
        </w:rPr>
        <w:t>区</w:t>
      </w:r>
      <w:r>
        <w:rPr>
          <w:rFonts w:hint="eastAsia"/>
          <w:color w:val="000000"/>
          <w:kern w:val="0"/>
          <w:sz w:val="28"/>
          <w:szCs w:val="28"/>
          <w:lang w:eastAsia="zh-CN"/>
        </w:rPr>
        <w:t>、镇全覆盖,鼓励建立婚姻家庭纠纷人民调解工作室,探索设立专职调解员公益岗位。培育婚姻家庭服务专业人才。</w:t>
      </w:r>
    </w:p>
    <w:p>
      <w:pPr>
        <w:pStyle w:val="18"/>
        <w:spacing w:line="574" w:lineRule="exact"/>
        <w:ind w:firstLine="620"/>
        <w:rPr>
          <w:color w:val="000000"/>
          <w:kern w:val="0"/>
          <w:sz w:val="28"/>
          <w:szCs w:val="28"/>
          <w:lang w:eastAsia="zh-CN"/>
        </w:rPr>
      </w:pPr>
      <w:r>
        <w:rPr>
          <w:rFonts w:hint="eastAsia"/>
          <w:color w:val="000000"/>
          <w:kern w:val="0"/>
          <w:sz w:val="28"/>
          <w:szCs w:val="28"/>
          <w:lang w:val="en-US" w:eastAsia="zh-CN"/>
        </w:rPr>
        <w:t>落</w:t>
      </w:r>
      <w:r>
        <w:rPr>
          <w:rFonts w:hint="eastAsia"/>
          <w:color w:val="000000" w:themeColor="text1"/>
          <w:kern w:val="0"/>
          <w:sz w:val="28"/>
          <w:szCs w:val="28"/>
          <w:lang w:val="en-US" w:eastAsia="zh-CN"/>
          <w14:textFill>
            <w14:solidFill>
              <w14:schemeClr w14:val="tx1"/>
            </w14:solidFill>
          </w14:textFill>
        </w:rPr>
        <w:t>实</w:t>
      </w:r>
      <w:r>
        <w:rPr>
          <w:rFonts w:hint="eastAsia"/>
          <w:color w:val="000000" w:themeColor="text1"/>
          <w:kern w:val="0"/>
          <w:sz w:val="28"/>
          <w:szCs w:val="28"/>
          <w:lang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潮</w:t>
      </w:r>
      <w:r>
        <w:rPr>
          <w:rFonts w:hint="eastAsia"/>
          <w:color w:val="000000" w:themeColor="text1"/>
          <w:kern w:val="0"/>
          <w:sz w:val="28"/>
          <w:szCs w:val="28"/>
          <w:lang w:eastAsia="zh-CN"/>
          <w14:textFill>
            <w14:solidFill>
              <w14:schemeClr w14:val="tx1"/>
            </w14:solidFill>
          </w14:textFill>
        </w:rPr>
        <w:t>文化</w:t>
      </w:r>
      <w:r>
        <w:rPr>
          <w:rFonts w:hint="eastAsia"/>
          <w:color w:val="000000"/>
          <w:kern w:val="0"/>
          <w:sz w:val="28"/>
          <w:szCs w:val="28"/>
          <w:lang w:eastAsia="zh-CN"/>
        </w:rPr>
        <w:t>工程”，弘扬潮汕优秀传统文化，传承潮汕优秀家风</w:t>
      </w:r>
      <w:r>
        <w:rPr>
          <w:rFonts w:hint="eastAsia"/>
          <w:color w:val="000000" w:themeColor="text1"/>
          <w:kern w:val="0"/>
          <w:sz w:val="28"/>
          <w:szCs w:val="28"/>
          <w:lang w:val="en-US" w:eastAsia="zh-CN"/>
          <w14:textFill>
            <w14:solidFill>
              <w14:schemeClr w14:val="tx1"/>
            </w14:solidFill>
          </w14:textFill>
        </w:rPr>
        <w:t>。深</w:t>
      </w:r>
      <w:r>
        <w:rPr>
          <w:rFonts w:hint="eastAsia"/>
          <w:color w:val="000000"/>
          <w:kern w:val="0"/>
          <w:sz w:val="28"/>
          <w:szCs w:val="28"/>
          <w:lang w:eastAsia="zh-CN"/>
        </w:rPr>
        <w:t>挖红色文化、历史文化、海洋文化、民族文化等传统潮汕特色文化资源，通过开展线上潮汕家风家教云课堂、线下家庭教育活动，</w:t>
      </w:r>
      <w:r>
        <w:rPr>
          <w:rFonts w:hint="eastAsia"/>
          <w:color w:val="000000"/>
          <w:kern w:val="0"/>
          <w:sz w:val="28"/>
          <w:szCs w:val="28"/>
          <w:lang w:val="en-US" w:eastAsia="zh-CN"/>
        </w:rPr>
        <w:t>推进家庭教育进村（社区）活动，</w:t>
      </w:r>
      <w:r>
        <w:rPr>
          <w:rFonts w:hint="eastAsia"/>
          <w:color w:val="000000"/>
          <w:kern w:val="0"/>
          <w:sz w:val="28"/>
          <w:szCs w:val="28"/>
          <w:lang w:eastAsia="zh-CN"/>
        </w:rPr>
        <w:t>加强教育引导、舆论宣传、文化熏陶、实践养成,引导妇女和家庭成员建设好家庭、实施好家教、弘扬好家风。</w:t>
      </w:r>
    </w:p>
    <w:p>
      <w:pPr>
        <w:pStyle w:val="5"/>
        <w:spacing w:before="156"/>
        <w:ind w:firstLine="602"/>
        <w:rPr>
          <w:sz w:val="30"/>
          <w:szCs w:val="30"/>
          <w:lang w:val="zh-TW" w:eastAsia="zh-CN" w:bidi="zh-TW"/>
        </w:rPr>
      </w:pPr>
      <w:bookmarkStart w:id="23" w:name="_Toc98223437"/>
      <w:bookmarkStart w:id="24" w:name="_Toc5719"/>
      <w:r>
        <w:rPr>
          <w:rFonts w:hint="eastAsia"/>
          <w:sz w:val="30"/>
          <w:szCs w:val="30"/>
          <w:lang w:val="zh-TW" w:eastAsia="zh-TW" w:bidi="zh-TW"/>
        </w:rPr>
        <w:t>（六）公共场所母婴室建设工程</w:t>
      </w:r>
      <w:bookmarkEnd w:id="23"/>
      <w:bookmarkEnd w:id="24"/>
    </w:p>
    <w:p>
      <w:pPr>
        <w:pStyle w:val="18"/>
        <w:spacing w:line="574" w:lineRule="exact"/>
        <w:ind w:firstLine="620"/>
        <w:rPr>
          <w:color w:val="000000"/>
          <w:kern w:val="0"/>
          <w:sz w:val="28"/>
          <w:szCs w:val="28"/>
          <w:lang w:eastAsia="zh-CN"/>
        </w:rPr>
      </w:pPr>
      <w:r>
        <w:rPr>
          <w:rFonts w:hint="eastAsia"/>
          <w:color w:val="000000"/>
          <w:kern w:val="0"/>
          <w:sz w:val="28"/>
          <w:szCs w:val="28"/>
          <w:lang w:eastAsia="zh-CN"/>
        </w:rPr>
        <w:t>加强公共场所母婴室的标准化建设和规范化管理。在日人流量大的主要公共场所建设母婴室。鼓励用人单位和其他公共场所设置母婴室或增加母乳喂养设施。</w:t>
      </w:r>
    </w:p>
    <w:p>
      <w:pPr>
        <w:pStyle w:val="5"/>
        <w:spacing w:before="156"/>
        <w:ind w:firstLine="602"/>
        <w:rPr>
          <w:sz w:val="30"/>
          <w:szCs w:val="30"/>
          <w:lang w:val="zh-TW" w:eastAsia="zh-CN" w:bidi="zh-TW"/>
        </w:rPr>
      </w:pPr>
      <w:bookmarkStart w:id="25" w:name="_Toc31899"/>
      <w:bookmarkStart w:id="26" w:name="_Toc98223438"/>
      <w:r>
        <w:rPr>
          <w:rFonts w:hint="eastAsia"/>
          <w:sz w:val="30"/>
          <w:szCs w:val="30"/>
          <w:lang w:val="zh-TW" w:eastAsia="zh-TW" w:bidi="zh-TW"/>
        </w:rPr>
        <w:t>（七）南粤巾帼志愿服务关爱工程</w:t>
      </w:r>
      <w:bookmarkEnd w:id="25"/>
      <w:bookmarkEnd w:id="26"/>
    </w:p>
    <w:p>
      <w:pPr>
        <w:pStyle w:val="18"/>
        <w:spacing w:line="574" w:lineRule="exact"/>
        <w:ind w:firstLine="620"/>
        <w:rPr>
          <w:color w:val="000000"/>
          <w:kern w:val="0"/>
          <w:sz w:val="28"/>
          <w:szCs w:val="28"/>
          <w:lang w:val="en-US" w:eastAsia="zh-CN"/>
        </w:rPr>
      </w:pPr>
      <w:r>
        <w:rPr>
          <w:rFonts w:hint="eastAsia"/>
          <w:color w:val="000000"/>
          <w:kern w:val="0"/>
          <w:sz w:val="28"/>
          <w:szCs w:val="28"/>
          <w:lang w:eastAsia="zh-CN"/>
        </w:rPr>
        <w:t>健全完善巾帼志愿服务体系机制,动员引导广大妇女弘扬志愿精神,深化巾帼志愿服务关爱行动,在扶弱帮困、婚姻调适、家庭教育、纠纷调解、心灵关怀、助老助残等关爱服务中促进社会变得更加美好。每个社区都有巾帼志愿服务队伍或开展巾帼志愿服务。</w:t>
      </w:r>
    </w:p>
    <w:p>
      <w:pPr>
        <w:pStyle w:val="4"/>
        <w:spacing w:before="156"/>
        <w:ind w:firstLine="643"/>
        <w:rPr>
          <w:sz w:val="32"/>
          <w:szCs w:val="48"/>
          <w:lang w:val="zh-TW" w:eastAsia="zh-TW" w:bidi="zh-TW"/>
        </w:rPr>
      </w:pPr>
      <w:bookmarkStart w:id="27" w:name="_Toc23084"/>
      <w:r>
        <w:rPr>
          <w:rFonts w:hint="eastAsia"/>
          <w:sz w:val="32"/>
          <w:szCs w:val="48"/>
          <w:lang w:val="zh-TW" w:eastAsia="zh-TW" w:bidi="zh-TW"/>
        </w:rPr>
        <w:t>四、组织实施</w:t>
      </w:r>
      <w:bookmarkEnd w:id="27"/>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坚持党的全面领导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坚持以习近平新时代中国特色社会主义思想为指导,坚持以人民为中心的发展思想,坚持走中国特色社会主义妇女发展道路,把党的领导贯穿于规划组织实施的全过程。坚决贯彻落实党中央、国务院关于妇女事业发展的决策部署,在统筹推进“五位一体”总体布局、协调推进“四个全面</w:t>
      </w:r>
      <w:r>
        <w:rPr>
          <w:rFonts w:ascii="宋体" w:hAnsi="宋体" w:eastAsia="宋体" w:cs="宋体"/>
          <w:sz w:val="28"/>
          <w:szCs w:val="28"/>
        </w:rPr>
        <w:t>”</w:t>
      </w:r>
      <w:r>
        <w:rPr>
          <w:rFonts w:hint="eastAsia" w:ascii="宋体" w:hAnsi="宋体" w:eastAsia="宋体" w:cs="宋体"/>
          <w:sz w:val="28"/>
          <w:szCs w:val="28"/>
        </w:rPr>
        <w:t>战略布局中推进规划实施</w:t>
      </w:r>
      <w:r>
        <w:rPr>
          <w:rFonts w:hint="eastAsia" w:ascii="宋体" w:hAnsi="宋体" w:eastAsia="宋体" w:cs="宋体"/>
          <w:sz w:val="28"/>
          <w:szCs w:val="28"/>
          <w:lang w:eastAsia="zh-CN"/>
        </w:rPr>
        <w:t>；</w:t>
      </w:r>
      <w:r>
        <w:rPr>
          <w:rFonts w:hint="eastAsia" w:ascii="宋体" w:hAnsi="宋体" w:eastAsia="宋体" w:cs="宋体"/>
          <w:sz w:val="28"/>
          <w:szCs w:val="28"/>
        </w:rPr>
        <w:t>认真落实区委、区政府的有关工作要求,坚持和完善促进男女平等、妇女全面发展的制度机制。</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落实规划实施责任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完善落实党委领导、政府主责、妇女儿童工作委员会</w:t>
      </w:r>
      <w:r>
        <w:rPr>
          <w:rFonts w:hint="eastAsia" w:ascii="宋体" w:hAnsi="宋体" w:eastAsia="宋体" w:cs="宋体"/>
          <w:sz w:val="28"/>
          <w:szCs w:val="28"/>
          <w:lang w:eastAsia="zh-CN"/>
        </w:rPr>
        <w:t>（</w:t>
      </w:r>
      <w:r>
        <w:rPr>
          <w:rFonts w:hint="eastAsia" w:ascii="宋体" w:hAnsi="宋体" w:eastAsia="宋体" w:cs="宋体"/>
          <w:sz w:val="28"/>
          <w:szCs w:val="28"/>
        </w:rPr>
        <w:t>以下简称妇儿工委</w:t>
      </w:r>
      <w:r>
        <w:rPr>
          <w:rFonts w:hint="eastAsia" w:ascii="宋体" w:hAnsi="宋体" w:eastAsia="宋体" w:cs="宋体"/>
          <w:sz w:val="28"/>
          <w:szCs w:val="28"/>
          <w:lang w:eastAsia="zh-CN"/>
        </w:rPr>
        <w:t>）</w:t>
      </w:r>
      <w:r>
        <w:rPr>
          <w:rFonts w:hint="eastAsia" w:ascii="宋体" w:hAnsi="宋体" w:eastAsia="宋体" w:cs="宋体"/>
          <w:sz w:val="28"/>
          <w:szCs w:val="28"/>
        </w:rPr>
        <w:t>协调、多部门合作、全社会参与的规划实施工作机制。区人民政府负责规划实施工作，</w:t>
      </w:r>
      <w:r>
        <w:rPr>
          <w:rFonts w:hint="eastAsia" w:ascii="宋体" w:hAnsi="宋体" w:eastAsia="宋体" w:cs="宋体"/>
          <w:sz w:val="28"/>
          <w:szCs w:val="28"/>
          <w:lang w:val="zh-CN"/>
        </w:rPr>
        <w:t>区</w:t>
      </w:r>
      <w:r>
        <w:rPr>
          <w:rFonts w:hint="eastAsia" w:ascii="宋体" w:hAnsi="宋体" w:eastAsia="宋体" w:cs="宋体"/>
          <w:sz w:val="28"/>
          <w:szCs w:val="28"/>
        </w:rPr>
        <w:t>妇儿工委负责组织、协调、指导、督促工作，</w:t>
      </w:r>
      <w:r>
        <w:rPr>
          <w:rFonts w:hint="eastAsia" w:ascii="宋体" w:hAnsi="宋体" w:eastAsia="宋体" w:cs="宋体"/>
          <w:sz w:val="28"/>
          <w:szCs w:val="28"/>
          <w:lang w:val="zh-CN"/>
        </w:rPr>
        <w:t>区</w:t>
      </w:r>
      <w:r>
        <w:rPr>
          <w:rFonts w:hint="eastAsia" w:ascii="宋体" w:hAnsi="宋体" w:eastAsia="宋体" w:cs="宋体"/>
          <w:sz w:val="28"/>
          <w:szCs w:val="28"/>
        </w:rPr>
        <w:t>妇儿工委办公室负责具体工作。有关部门、相关机构和人民团体结合职责,承担规划中相应目标任务，制定具体方案，认真组织实施。在制定政策、编制规划、部署工作时贯彻落实男女平等基本国策,切实保障妇女合法权益,促进妇女全面发展。</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加强规划与揭东经济和社会发展规划的衔接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将规划实施以及妇女事业发展纳入区经济社会发展总体规划及相关专项规划,结合经济社会发展总体规划部署要求推进规划实施工作,实现妇女事业发展与经济社会发展同步规划、同步部署、同步推进、同步落实。</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制定地方妇女发展规划和部门实施方案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人民政府依据《中国妇女发展纲要》和上级妇女发展规划，结合实际制定区妇女发展规划。区直及地方承担规划目标任务的有关部门、相关机构和人民团体结合职责，按照任务分工，制定实施方案并报送区妇儿工委办公室，认真组织实施。</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完善实施规划的制度机制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健全目标管理责任制，将规划实施纳入政府议事日程和考核内容，将规划目标分解到责任单位并纳入目标管理和考核内容。健全督导检查制度，定期对规划落实情况开展督查。健全报告制度，责任单位每年向区妇儿工委报告规划落实情况和下一年工作安排。健全议事协商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保障妇女发展经费投入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区人民政府将实施规划所需工作经费纳入财政预</w:t>
      </w:r>
      <w:r>
        <w:rPr>
          <w:rFonts w:hint="eastAsia" w:ascii="宋体" w:hAnsi="宋体" w:eastAsia="宋体" w:cs="宋体"/>
          <w:color w:val="000000" w:themeColor="text1"/>
          <w:sz w:val="28"/>
          <w:szCs w:val="28"/>
          <w14:textFill>
            <w14:solidFill>
              <w14:schemeClr w14:val="tx1"/>
            </w14:solidFill>
          </w14:textFill>
        </w:rPr>
        <w:t>算,</w:t>
      </w:r>
      <w:r>
        <w:rPr>
          <w:rFonts w:hint="eastAsia"/>
          <w:color w:val="000000" w:themeColor="text1"/>
          <w:kern w:val="0"/>
          <w:sz w:val="28"/>
          <w:szCs w:val="28"/>
          <w14:textFill>
            <w14:solidFill>
              <w14:schemeClr w14:val="tx1"/>
            </w14:solidFill>
          </w14:textFill>
        </w:rPr>
        <w:t>逐步加大对妇女发展经费投入，</w:t>
      </w:r>
      <w:r>
        <w:rPr>
          <w:rFonts w:hint="eastAsia" w:ascii="宋体" w:hAnsi="宋体" w:eastAsia="宋体" w:cs="宋体"/>
          <w:color w:val="000000" w:themeColor="text1"/>
          <w:sz w:val="28"/>
          <w:szCs w:val="28"/>
          <w14:textFill>
            <w14:solidFill>
              <w14:schemeClr w14:val="tx1"/>
            </w14:solidFill>
          </w14:textFill>
        </w:rPr>
        <w:t>实</w:t>
      </w:r>
      <w:r>
        <w:rPr>
          <w:rFonts w:hint="eastAsia" w:ascii="宋体" w:hAnsi="宋体" w:eastAsia="宋体" w:cs="宋体"/>
          <w:sz w:val="28"/>
          <w:szCs w:val="28"/>
        </w:rPr>
        <w:t>现妇女事业和经济社会同步发展。支持特殊困难妇女群体发展。动员社会力量,多渠道筹集资源,共同发展妇女事业。</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坚持和创新实施规划的有效做法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贯彻新发展理念，坚持问题导向、目标导向、结果导向，落实促进妇女发展的法规政策，完善妇女合法权益保障机制，实施促进妇女发展的民生项目。通过分类指导、示范先行，总结推广好做法好经验。通过政府购买服务等方式，发挥社会力量推进规划实施的作用。开展与其他县（市、区）的交流合作，交流互鉴经验，讲好本地妇女发展故事，宣传揭东妇女事业发展成就。</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加强实施规划能力建设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以政治建设为统领，加强妇儿工委及其办公室能力建设，推进机构职能优化,为更好履职尽责提供必要的人力物力财力支持,为规划实施提供组织保障。</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加大实施规划宣传力度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大力宣传习近平总书记关于妇女和妇女工作的重要论述,宣传在党的坚强领导下妇女事业发展的成就,宣传男女平等基本国策和保障妇女合法权益、促进妇女发展的法律法规政策,宣传规划内容及规划实施的经验和成效,努力营造有利于妇女发展的社会氛围。</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加强妇女发展调查研究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充分发挥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numPr>
          <w:ilvl w:val="0"/>
          <w:numId w:val="1"/>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鼓励社会各界广泛参与规划实施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鼓励企事业单位、社会组织、慈善机构和公益人士参与保障妇女合法权益、促进妇女发展等工作。鼓励妇女参与规划实施,提高妇女在参与规划实施中实现自身全面发展的意识和能力。</w:t>
      </w:r>
    </w:p>
    <w:p>
      <w:pPr>
        <w:pStyle w:val="4"/>
        <w:spacing w:before="156"/>
        <w:ind w:firstLine="643"/>
        <w:rPr>
          <w:sz w:val="32"/>
          <w:szCs w:val="48"/>
          <w:lang w:val="zh-TW" w:eastAsia="zh-TW" w:bidi="zh-TW"/>
        </w:rPr>
      </w:pPr>
      <w:bookmarkStart w:id="28" w:name="_Toc31566"/>
      <w:r>
        <w:rPr>
          <w:rFonts w:hint="eastAsia"/>
          <w:sz w:val="32"/>
          <w:szCs w:val="48"/>
          <w:lang w:val="zh-TW" w:eastAsia="zh-TW" w:bidi="zh-TW"/>
        </w:rPr>
        <w:t>五、监测评估</w:t>
      </w:r>
      <w:bookmarkEnd w:id="28"/>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加强监测评估制度建设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对规划实施情况进行年度监测、中期评估、终期评估。建立健全妇女发展状况的统计监测指标体系及相关监测制度。区统计部门牵头组织开展年度监测，区妇儿工委成员单位、有关部门、相关机构向统计部门报送年度监测数据，及时收集、分析反映妇女发展状况的相关数据和信息。区妇儿工委组织开展中期和终期评估，区妇儿工委成员单位、有关部门、相关机构向区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numPr>
          <w:ilvl w:val="0"/>
          <w:numId w:val="2"/>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加强监测评估工作组织领导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妇儿工委设立监测评估领导小组,由区妇儿工委及相关部门负责同志组成,负责组织领导监测评估工作,审批监测评估方案,审核监测评估报告等。领导小组下设监测组和评估组。监测组由区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监测组成员负责统筹协调本部门规划实施监测、分析、数据上报、分性别分年龄指标完善等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评估组由区妇儿工委办公室牵头,相关部门负责规划实施情况统计监测的人员参加,负责评估工作的组织、指导和培训,制定评估方案,组织开展评估工作,向区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numPr>
          <w:ilvl w:val="0"/>
          <w:numId w:val="2"/>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加强分性别统计监测工作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规范完善并适时调整性别统计监测指标体系,发挥部门作用,根据需要调整扩充妇女发展统计指标,推动纳入国家和部门常规统计以及统计调查制度,加强部门分性别统计工作,推进分性别分年龄统计监测制度化建设。加强统计监测队伍建设,加快统计监测信息化建设。健全完善妇女发展统计监测数据库,完善监测数据网上报送系统。鼓励支持相关部门对妇女发展缺项数据开展专项统计调查。</w:t>
      </w:r>
    </w:p>
    <w:p>
      <w:pPr>
        <w:numPr>
          <w:ilvl w:val="0"/>
          <w:numId w:val="2"/>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提升监测评估工作能力和水平</w:t>
      </w:r>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区妇儿工委将规划实施中的实事项目、重点工程纳入政府专项督查,推动重点问题的解决。</w:t>
      </w:r>
    </w:p>
    <w:p>
      <w:pPr>
        <w:numPr>
          <w:ilvl w:val="0"/>
          <w:numId w:val="2"/>
        </w:num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有效利用监测评估成果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发挥监测评估结果服务决策的作用,定期向区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773390"/>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CB37C"/>
    <w:multiLevelType w:val="singleLevel"/>
    <w:tmpl w:val="88DCB37C"/>
    <w:lvl w:ilvl="0" w:tentative="0">
      <w:start w:val="2"/>
      <w:numFmt w:val="chineseCounting"/>
      <w:lvlText w:val="(%1)"/>
      <w:lvlJc w:val="left"/>
      <w:pPr>
        <w:tabs>
          <w:tab w:val="left" w:pos="312"/>
        </w:tabs>
      </w:pPr>
      <w:rPr>
        <w:rFonts w:hint="eastAsia"/>
      </w:rPr>
    </w:lvl>
  </w:abstractNum>
  <w:abstractNum w:abstractNumId="1">
    <w:nsid w:val="AFA69218"/>
    <w:multiLevelType w:val="singleLevel"/>
    <w:tmpl w:val="AFA69218"/>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GM5NmNlNmM5YmYxM2FiN2RkMjZjYjQ2ZjY2YWQifQ=="/>
  </w:docVars>
  <w:rsids>
    <w:rsidRoot w:val="00A02FAE"/>
    <w:rsid w:val="00070B16"/>
    <w:rsid w:val="000D24F7"/>
    <w:rsid w:val="00100DA5"/>
    <w:rsid w:val="0010210C"/>
    <w:rsid w:val="00105962"/>
    <w:rsid w:val="00124682"/>
    <w:rsid w:val="001326BE"/>
    <w:rsid w:val="00151EDB"/>
    <w:rsid w:val="001B2928"/>
    <w:rsid w:val="001B75E8"/>
    <w:rsid w:val="00307272"/>
    <w:rsid w:val="00372F42"/>
    <w:rsid w:val="00375781"/>
    <w:rsid w:val="003D1B6D"/>
    <w:rsid w:val="003E5DC9"/>
    <w:rsid w:val="00500477"/>
    <w:rsid w:val="00560407"/>
    <w:rsid w:val="0057039F"/>
    <w:rsid w:val="00627683"/>
    <w:rsid w:val="00635AC0"/>
    <w:rsid w:val="006A6036"/>
    <w:rsid w:val="007B656F"/>
    <w:rsid w:val="007C7BA6"/>
    <w:rsid w:val="00801ECC"/>
    <w:rsid w:val="008737F8"/>
    <w:rsid w:val="00884E9D"/>
    <w:rsid w:val="00903E32"/>
    <w:rsid w:val="00907F93"/>
    <w:rsid w:val="009F6EF3"/>
    <w:rsid w:val="00A02FAE"/>
    <w:rsid w:val="00AC32E7"/>
    <w:rsid w:val="00B0539B"/>
    <w:rsid w:val="00B91397"/>
    <w:rsid w:val="00BD6097"/>
    <w:rsid w:val="00C22FBB"/>
    <w:rsid w:val="00CB2033"/>
    <w:rsid w:val="00CC2DE9"/>
    <w:rsid w:val="00CF3FD1"/>
    <w:rsid w:val="00D04E7F"/>
    <w:rsid w:val="00D9437E"/>
    <w:rsid w:val="00DD6A16"/>
    <w:rsid w:val="00E04014"/>
    <w:rsid w:val="00E462E8"/>
    <w:rsid w:val="00E7320A"/>
    <w:rsid w:val="00EA3FF4"/>
    <w:rsid w:val="00ED524B"/>
    <w:rsid w:val="00EE709F"/>
    <w:rsid w:val="00FC7A7E"/>
    <w:rsid w:val="019C2EDC"/>
    <w:rsid w:val="01CE1A69"/>
    <w:rsid w:val="01D36764"/>
    <w:rsid w:val="023F0464"/>
    <w:rsid w:val="024C6F8B"/>
    <w:rsid w:val="02721529"/>
    <w:rsid w:val="03332F3B"/>
    <w:rsid w:val="03777DD5"/>
    <w:rsid w:val="038D07E8"/>
    <w:rsid w:val="03AA65D0"/>
    <w:rsid w:val="03F00ACA"/>
    <w:rsid w:val="042E7A82"/>
    <w:rsid w:val="04642A13"/>
    <w:rsid w:val="04D16975"/>
    <w:rsid w:val="05177476"/>
    <w:rsid w:val="05B416BB"/>
    <w:rsid w:val="05FB5340"/>
    <w:rsid w:val="06092D9A"/>
    <w:rsid w:val="06BA4715"/>
    <w:rsid w:val="06C97BAD"/>
    <w:rsid w:val="06EB5C69"/>
    <w:rsid w:val="07791BAD"/>
    <w:rsid w:val="07822FDB"/>
    <w:rsid w:val="07A73562"/>
    <w:rsid w:val="07C12A8B"/>
    <w:rsid w:val="07D45DF7"/>
    <w:rsid w:val="08092676"/>
    <w:rsid w:val="08166476"/>
    <w:rsid w:val="08C93EC5"/>
    <w:rsid w:val="09463399"/>
    <w:rsid w:val="094D6E1B"/>
    <w:rsid w:val="09AE7AB6"/>
    <w:rsid w:val="09D20BB8"/>
    <w:rsid w:val="0B526F7D"/>
    <w:rsid w:val="0B867CE6"/>
    <w:rsid w:val="0BF25D97"/>
    <w:rsid w:val="0C343672"/>
    <w:rsid w:val="0C5401AB"/>
    <w:rsid w:val="0C6B1A38"/>
    <w:rsid w:val="0CB2694F"/>
    <w:rsid w:val="0CBA4CD3"/>
    <w:rsid w:val="0CF06ED3"/>
    <w:rsid w:val="0D2855D7"/>
    <w:rsid w:val="0D9E04CB"/>
    <w:rsid w:val="0E317271"/>
    <w:rsid w:val="0F841A2B"/>
    <w:rsid w:val="0F870625"/>
    <w:rsid w:val="106F2DF6"/>
    <w:rsid w:val="107D2E41"/>
    <w:rsid w:val="108669A1"/>
    <w:rsid w:val="10C34510"/>
    <w:rsid w:val="11167509"/>
    <w:rsid w:val="111870B1"/>
    <w:rsid w:val="119D7CB9"/>
    <w:rsid w:val="12965764"/>
    <w:rsid w:val="131F34EC"/>
    <w:rsid w:val="133200A3"/>
    <w:rsid w:val="13493C76"/>
    <w:rsid w:val="143736C3"/>
    <w:rsid w:val="15813A8B"/>
    <w:rsid w:val="15A42625"/>
    <w:rsid w:val="15DD591E"/>
    <w:rsid w:val="16BD4FD0"/>
    <w:rsid w:val="16D95F09"/>
    <w:rsid w:val="16DB0D9E"/>
    <w:rsid w:val="170F7F2B"/>
    <w:rsid w:val="17463F2C"/>
    <w:rsid w:val="178E5585"/>
    <w:rsid w:val="180209F1"/>
    <w:rsid w:val="18211C50"/>
    <w:rsid w:val="183A0E9B"/>
    <w:rsid w:val="187B5D43"/>
    <w:rsid w:val="187B7BFF"/>
    <w:rsid w:val="190745C1"/>
    <w:rsid w:val="1A422494"/>
    <w:rsid w:val="1A56408B"/>
    <w:rsid w:val="1AA84F1D"/>
    <w:rsid w:val="1ACF1179"/>
    <w:rsid w:val="1B3F3D63"/>
    <w:rsid w:val="1BE649E3"/>
    <w:rsid w:val="1C0B1C5E"/>
    <w:rsid w:val="1C2F567F"/>
    <w:rsid w:val="1CB95687"/>
    <w:rsid w:val="1D1616E6"/>
    <w:rsid w:val="1D2F5D94"/>
    <w:rsid w:val="1DD25A75"/>
    <w:rsid w:val="1DD41826"/>
    <w:rsid w:val="1E2D15D1"/>
    <w:rsid w:val="1EBE438E"/>
    <w:rsid w:val="1EC8234E"/>
    <w:rsid w:val="1F1310D7"/>
    <w:rsid w:val="1F291C8D"/>
    <w:rsid w:val="1F494278"/>
    <w:rsid w:val="1FA15859"/>
    <w:rsid w:val="1FD12955"/>
    <w:rsid w:val="20404934"/>
    <w:rsid w:val="20605A3E"/>
    <w:rsid w:val="207848CC"/>
    <w:rsid w:val="20DC7E23"/>
    <w:rsid w:val="20E94275"/>
    <w:rsid w:val="21121E38"/>
    <w:rsid w:val="211E60D8"/>
    <w:rsid w:val="217C5002"/>
    <w:rsid w:val="22027BAF"/>
    <w:rsid w:val="229E0F7A"/>
    <w:rsid w:val="234A1298"/>
    <w:rsid w:val="2350790E"/>
    <w:rsid w:val="235C3E7C"/>
    <w:rsid w:val="23C0033C"/>
    <w:rsid w:val="241E0E5E"/>
    <w:rsid w:val="243C19BF"/>
    <w:rsid w:val="245B6F27"/>
    <w:rsid w:val="24B6050C"/>
    <w:rsid w:val="24C21D8B"/>
    <w:rsid w:val="24F46A34"/>
    <w:rsid w:val="252D7994"/>
    <w:rsid w:val="26371021"/>
    <w:rsid w:val="267D0FA6"/>
    <w:rsid w:val="26BB5942"/>
    <w:rsid w:val="27227BEB"/>
    <w:rsid w:val="27A1106A"/>
    <w:rsid w:val="27A83979"/>
    <w:rsid w:val="27E91681"/>
    <w:rsid w:val="29096A86"/>
    <w:rsid w:val="29240F1D"/>
    <w:rsid w:val="292431EF"/>
    <w:rsid w:val="29555DFC"/>
    <w:rsid w:val="29AF6928"/>
    <w:rsid w:val="29F03F32"/>
    <w:rsid w:val="2A1E5602"/>
    <w:rsid w:val="2A2D425C"/>
    <w:rsid w:val="2AC40E57"/>
    <w:rsid w:val="2B022545"/>
    <w:rsid w:val="2B4D64F6"/>
    <w:rsid w:val="2B6F38A6"/>
    <w:rsid w:val="2B8B4043"/>
    <w:rsid w:val="2C770D4D"/>
    <w:rsid w:val="2C806898"/>
    <w:rsid w:val="2C9D2348"/>
    <w:rsid w:val="2CA70FCE"/>
    <w:rsid w:val="2CFA6FC2"/>
    <w:rsid w:val="2D0B5DF5"/>
    <w:rsid w:val="2D0C152D"/>
    <w:rsid w:val="2D151FB4"/>
    <w:rsid w:val="2D303212"/>
    <w:rsid w:val="2D663664"/>
    <w:rsid w:val="2D6C03A8"/>
    <w:rsid w:val="2E2E318C"/>
    <w:rsid w:val="2E4D3C47"/>
    <w:rsid w:val="2EE9355C"/>
    <w:rsid w:val="2EF11C57"/>
    <w:rsid w:val="2F057B61"/>
    <w:rsid w:val="2F4C3F71"/>
    <w:rsid w:val="2F6F5BEE"/>
    <w:rsid w:val="2FF7454F"/>
    <w:rsid w:val="30083D72"/>
    <w:rsid w:val="300C47A3"/>
    <w:rsid w:val="303F1F37"/>
    <w:rsid w:val="307D6B9B"/>
    <w:rsid w:val="312F6ABA"/>
    <w:rsid w:val="314909B3"/>
    <w:rsid w:val="314F742B"/>
    <w:rsid w:val="31785896"/>
    <w:rsid w:val="31FA0957"/>
    <w:rsid w:val="31FC1018"/>
    <w:rsid w:val="32D83079"/>
    <w:rsid w:val="32DB2AC7"/>
    <w:rsid w:val="332F62CD"/>
    <w:rsid w:val="333139D0"/>
    <w:rsid w:val="336D22D7"/>
    <w:rsid w:val="33BA1EEB"/>
    <w:rsid w:val="34373383"/>
    <w:rsid w:val="34474BA9"/>
    <w:rsid w:val="34C83F3D"/>
    <w:rsid w:val="34FF0CCC"/>
    <w:rsid w:val="35431405"/>
    <w:rsid w:val="360628B3"/>
    <w:rsid w:val="36300203"/>
    <w:rsid w:val="36B77F8B"/>
    <w:rsid w:val="37A55052"/>
    <w:rsid w:val="37F32622"/>
    <w:rsid w:val="381F56BC"/>
    <w:rsid w:val="38CE2896"/>
    <w:rsid w:val="38CF5270"/>
    <w:rsid w:val="38E87B49"/>
    <w:rsid w:val="39CC21A9"/>
    <w:rsid w:val="39EB367F"/>
    <w:rsid w:val="39FF44C1"/>
    <w:rsid w:val="3A0E4CE1"/>
    <w:rsid w:val="3A241712"/>
    <w:rsid w:val="3A4E5FE4"/>
    <w:rsid w:val="3A50591E"/>
    <w:rsid w:val="3A7B5325"/>
    <w:rsid w:val="3AAD19D7"/>
    <w:rsid w:val="3AC10DC6"/>
    <w:rsid w:val="3AF679D5"/>
    <w:rsid w:val="3AF70A6C"/>
    <w:rsid w:val="3B1D00D1"/>
    <w:rsid w:val="3B3435F2"/>
    <w:rsid w:val="3BBD16D4"/>
    <w:rsid w:val="3BED74E3"/>
    <w:rsid w:val="3BF61482"/>
    <w:rsid w:val="3C7003AF"/>
    <w:rsid w:val="3CA612B4"/>
    <w:rsid w:val="3D1D3C48"/>
    <w:rsid w:val="3D496E76"/>
    <w:rsid w:val="3D7E281F"/>
    <w:rsid w:val="3DB53ACD"/>
    <w:rsid w:val="3E3910DA"/>
    <w:rsid w:val="3EBA10BE"/>
    <w:rsid w:val="3F0D64CA"/>
    <w:rsid w:val="3F260FAC"/>
    <w:rsid w:val="3F292EFF"/>
    <w:rsid w:val="3F610588"/>
    <w:rsid w:val="3FD85478"/>
    <w:rsid w:val="402E452D"/>
    <w:rsid w:val="404205A9"/>
    <w:rsid w:val="405F19ED"/>
    <w:rsid w:val="40BC1EA3"/>
    <w:rsid w:val="4101722A"/>
    <w:rsid w:val="41033052"/>
    <w:rsid w:val="412B6C83"/>
    <w:rsid w:val="412E12E8"/>
    <w:rsid w:val="41972715"/>
    <w:rsid w:val="41D14134"/>
    <w:rsid w:val="421C27EF"/>
    <w:rsid w:val="42352B75"/>
    <w:rsid w:val="427052DF"/>
    <w:rsid w:val="4286556A"/>
    <w:rsid w:val="42AD2961"/>
    <w:rsid w:val="42E65899"/>
    <w:rsid w:val="431772FF"/>
    <w:rsid w:val="43817934"/>
    <w:rsid w:val="43FE59B5"/>
    <w:rsid w:val="446D5994"/>
    <w:rsid w:val="44E1466C"/>
    <w:rsid w:val="44ED38AB"/>
    <w:rsid w:val="454D63E0"/>
    <w:rsid w:val="45585921"/>
    <w:rsid w:val="4571723D"/>
    <w:rsid w:val="45810819"/>
    <w:rsid w:val="45B8263A"/>
    <w:rsid w:val="45E21BCD"/>
    <w:rsid w:val="45E75D1A"/>
    <w:rsid w:val="45EF0D64"/>
    <w:rsid w:val="46BD2CD2"/>
    <w:rsid w:val="46CB706D"/>
    <w:rsid w:val="46E9383E"/>
    <w:rsid w:val="46EF4884"/>
    <w:rsid w:val="475616A0"/>
    <w:rsid w:val="478D3C7E"/>
    <w:rsid w:val="47BB61D9"/>
    <w:rsid w:val="47DF0A71"/>
    <w:rsid w:val="489C4EEC"/>
    <w:rsid w:val="48BC4187"/>
    <w:rsid w:val="48C00C46"/>
    <w:rsid w:val="48F67C73"/>
    <w:rsid w:val="49696A06"/>
    <w:rsid w:val="49AB5F46"/>
    <w:rsid w:val="4A67322C"/>
    <w:rsid w:val="4AD516E1"/>
    <w:rsid w:val="4B26233F"/>
    <w:rsid w:val="4B3F331F"/>
    <w:rsid w:val="4C4B7368"/>
    <w:rsid w:val="4C4F3E08"/>
    <w:rsid w:val="4C793A33"/>
    <w:rsid w:val="4C903823"/>
    <w:rsid w:val="4CDE472B"/>
    <w:rsid w:val="4CE33394"/>
    <w:rsid w:val="4D5D2548"/>
    <w:rsid w:val="4E286F50"/>
    <w:rsid w:val="4EB44252"/>
    <w:rsid w:val="4EB97456"/>
    <w:rsid w:val="4EBB72CC"/>
    <w:rsid w:val="4EBF06B4"/>
    <w:rsid w:val="4F764AB6"/>
    <w:rsid w:val="4FCE1010"/>
    <w:rsid w:val="50874D0E"/>
    <w:rsid w:val="508F1B83"/>
    <w:rsid w:val="50CB79CF"/>
    <w:rsid w:val="512141AC"/>
    <w:rsid w:val="514B1CD7"/>
    <w:rsid w:val="515D4C2E"/>
    <w:rsid w:val="517C7290"/>
    <w:rsid w:val="518A7A26"/>
    <w:rsid w:val="51C2416A"/>
    <w:rsid w:val="51E7014A"/>
    <w:rsid w:val="520B2BAD"/>
    <w:rsid w:val="52532390"/>
    <w:rsid w:val="52B15DE1"/>
    <w:rsid w:val="52C82527"/>
    <w:rsid w:val="53085121"/>
    <w:rsid w:val="53146119"/>
    <w:rsid w:val="531A0464"/>
    <w:rsid w:val="536B7F8C"/>
    <w:rsid w:val="53713F86"/>
    <w:rsid w:val="54AE4365"/>
    <w:rsid w:val="54CD3504"/>
    <w:rsid w:val="54CF5B3A"/>
    <w:rsid w:val="54F70F5A"/>
    <w:rsid w:val="55266D29"/>
    <w:rsid w:val="552A5E38"/>
    <w:rsid w:val="55527D49"/>
    <w:rsid w:val="556C2345"/>
    <w:rsid w:val="55983545"/>
    <w:rsid w:val="55D04FA7"/>
    <w:rsid w:val="56012BDF"/>
    <w:rsid w:val="561D389F"/>
    <w:rsid w:val="567C41AC"/>
    <w:rsid w:val="56935FA6"/>
    <w:rsid w:val="56E455FE"/>
    <w:rsid w:val="57160BF9"/>
    <w:rsid w:val="57A070A8"/>
    <w:rsid w:val="580D0441"/>
    <w:rsid w:val="583D1C46"/>
    <w:rsid w:val="59140E77"/>
    <w:rsid w:val="59A962F7"/>
    <w:rsid w:val="59BC31BC"/>
    <w:rsid w:val="5A27303B"/>
    <w:rsid w:val="5A2B2F9D"/>
    <w:rsid w:val="5A653EAE"/>
    <w:rsid w:val="5AC24F3D"/>
    <w:rsid w:val="5AC42ADB"/>
    <w:rsid w:val="5AD41312"/>
    <w:rsid w:val="5B7D3AD4"/>
    <w:rsid w:val="5BC632B3"/>
    <w:rsid w:val="5C167A10"/>
    <w:rsid w:val="5C2E6265"/>
    <w:rsid w:val="5C450BC1"/>
    <w:rsid w:val="5C944C4C"/>
    <w:rsid w:val="5C9F4678"/>
    <w:rsid w:val="5D744D4B"/>
    <w:rsid w:val="5D7A7FE1"/>
    <w:rsid w:val="5D807EC9"/>
    <w:rsid w:val="5D8F48A6"/>
    <w:rsid w:val="5DD02C46"/>
    <w:rsid w:val="5DE77B30"/>
    <w:rsid w:val="5EDE3090"/>
    <w:rsid w:val="5EF048D7"/>
    <w:rsid w:val="5F6777FD"/>
    <w:rsid w:val="602E4669"/>
    <w:rsid w:val="602F350B"/>
    <w:rsid w:val="605C6B76"/>
    <w:rsid w:val="60777572"/>
    <w:rsid w:val="60AC45CC"/>
    <w:rsid w:val="60D276D3"/>
    <w:rsid w:val="6160088B"/>
    <w:rsid w:val="61725079"/>
    <w:rsid w:val="61DA4E86"/>
    <w:rsid w:val="63787909"/>
    <w:rsid w:val="63B22942"/>
    <w:rsid w:val="64214D07"/>
    <w:rsid w:val="644A4472"/>
    <w:rsid w:val="64A37B7F"/>
    <w:rsid w:val="64D379B2"/>
    <w:rsid w:val="64EB50E1"/>
    <w:rsid w:val="655804A0"/>
    <w:rsid w:val="66B521F3"/>
    <w:rsid w:val="66BA34CD"/>
    <w:rsid w:val="673E6613"/>
    <w:rsid w:val="678416D1"/>
    <w:rsid w:val="67F36726"/>
    <w:rsid w:val="687C20FE"/>
    <w:rsid w:val="688F2838"/>
    <w:rsid w:val="689466BA"/>
    <w:rsid w:val="68D43F5C"/>
    <w:rsid w:val="69422B14"/>
    <w:rsid w:val="69655C21"/>
    <w:rsid w:val="697B3165"/>
    <w:rsid w:val="69822668"/>
    <w:rsid w:val="69F92C76"/>
    <w:rsid w:val="6A282D41"/>
    <w:rsid w:val="6A3356C4"/>
    <w:rsid w:val="6A720342"/>
    <w:rsid w:val="6ADD6F9E"/>
    <w:rsid w:val="6AEF1B85"/>
    <w:rsid w:val="6BAC1240"/>
    <w:rsid w:val="6BB23A09"/>
    <w:rsid w:val="6BD35321"/>
    <w:rsid w:val="6BD737B3"/>
    <w:rsid w:val="6C856153"/>
    <w:rsid w:val="6CBB22FF"/>
    <w:rsid w:val="6CF477A6"/>
    <w:rsid w:val="6CF522E5"/>
    <w:rsid w:val="6D4C4C2C"/>
    <w:rsid w:val="6D840EF3"/>
    <w:rsid w:val="6D8F364A"/>
    <w:rsid w:val="6D8F4717"/>
    <w:rsid w:val="6D950E25"/>
    <w:rsid w:val="6DFA2398"/>
    <w:rsid w:val="6EFD1A3E"/>
    <w:rsid w:val="706C2927"/>
    <w:rsid w:val="70F134F7"/>
    <w:rsid w:val="71607690"/>
    <w:rsid w:val="71734A85"/>
    <w:rsid w:val="717430CA"/>
    <w:rsid w:val="719B0EF7"/>
    <w:rsid w:val="71DF0527"/>
    <w:rsid w:val="721D094D"/>
    <w:rsid w:val="72925DB4"/>
    <w:rsid w:val="730023BA"/>
    <w:rsid w:val="733F4FAF"/>
    <w:rsid w:val="73412A13"/>
    <w:rsid w:val="745041D9"/>
    <w:rsid w:val="74BA50BB"/>
    <w:rsid w:val="74D946C8"/>
    <w:rsid w:val="75B92CA0"/>
    <w:rsid w:val="75C03379"/>
    <w:rsid w:val="76100C15"/>
    <w:rsid w:val="76674745"/>
    <w:rsid w:val="76EA0BCE"/>
    <w:rsid w:val="76F12CCD"/>
    <w:rsid w:val="77137D3A"/>
    <w:rsid w:val="772B1182"/>
    <w:rsid w:val="77A56AF8"/>
    <w:rsid w:val="77C63EC1"/>
    <w:rsid w:val="783F4CBF"/>
    <w:rsid w:val="787750EA"/>
    <w:rsid w:val="78FD4CE1"/>
    <w:rsid w:val="797B0478"/>
    <w:rsid w:val="79AC25AE"/>
    <w:rsid w:val="79DE089A"/>
    <w:rsid w:val="7ACA52F1"/>
    <w:rsid w:val="7AFF0179"/>
    <w:rsid w:val="7B433A26"/>
    <w:rsid w:val="7BB82D28"/>
    <w:rsid w:val="7C2F08E9"/>
    <w:rsid w:val="7C47467E"/>
    <w:rsid w:val="7C5959F5"/>
    <w:rsid w:val="7C946A3E"/>
    <w:rsid w:val="7CB75BD0"/>
    <w:rsid w:val="7D0F23DA"/>
    <w:rsid w:val="7D6A5FA6"/>
    <w:rsid w:val="7D9B6C60"/>
    <w:rsid w:val="7DA138EA"/>
    <w:rsid w:val="7DC0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keepNext/>
      <w:keepLines/>
      <w:adjustRightInd w:val="0"/>
      <w:snapToGrid w:val="0"/>
      <w:spacing w:before="50" w:beforeLines="50" w:line="360" w:lineRule="auto"/>
      <w:ind w:firstLine="200" w:firstLineChars="200"/>
      <w:jc w:val="left"/>
      <w:outlineLvl w:val="0"/>
    </w:pPr>
    <w:rPr>
      <w:rFonts w:ascii="Times New Roman" w:hAnsi="Times New Roman" w:eastAsia="黑体" w:cs="Times New Roman"/>
      <w:b/>
      <w:bCs/>
      <w:color w:val="000000"/>
      <w:kern w:val="44"/>
      <w:sz w:val="30"/>
      <w:szCs w:val="44"/>
      <w:lang w:eastAsia="en-US"/>
    </w:rPr>
  </w:style>
  <w:style w:type="paragraph" w:styleId="5">
    <w:name w:val="heading 2"/>
    <w:basedOn w:val="1"/>
    <w:next w:val="1"/>
    <w:link w:val="28"/>
    <w:unhideWhenUsed/>
    <w:qFormat/>
    <w:uiPriority w:val="0"/>
    <w:pPr>
      <w:keepNext/>
      <w:keepLines/>
      <w:adjustRightInd w:val="0"/>
      <w:snapToGrid w:val="0"/>
      <w:spacing w:before="50" w:beforeLines="50" w:line="360" w:lineRule="auto"/>
      <w:ind w:firstLine="200" w:firstLineChars="200"/>
      <w:jc w:val="left"/>
      <w:outlineLvl w:val="1"/>
    </w:pPr>
    <w:rPr>
      <w:rFonts w:ascii="Cambria" w:hAnsi="Cambria" w:eastAsia="宋体" w:cs="Times New Roman"/>
      <w:b/>
      <w:bCs/>
      <w:color w:val="000000"/>
      <w:kern w:val="0"/>
      <w:sz w:val="28"/>
      <w:szCs w:val="32"/>
      <w:lang w:eastAsia="en-US"/>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cs="Times New Roman"/>
    </w:rPr>
  </w:style>
  <w:style w:type="paragraph" w:styleId="3">
    <w:name w:val="Title"/>
    <w:basedOn w:val="1"/>
    <w:next w:val="1"/>
    <w:qFormat/>
    <w:uiPriority w:val="99"/>
    <w:pPr>
      <w:jc w:val="center"/>
      <w:outlineLvl w:val="0"/>
    </w:pPr>
    <w:rPr>
      <w:rFonts w:ascii="方正小标宋_GBK" w:hAnsi="方正小标宋_GBK" w:eastAsia="方正小标宋_GBK"/>
      <w:sz w:val="44"/>
      <w:szCs w:val="44"/>
    </w:rPr>
  </w:style>
  <w:style w:type="paragraph" w:styleId="6">
    <w:name w:val="Normal Indent"/>
    <w:basedOn w:val="1"/>
    <w:qFormat/>
    <w:uiPriority w:val="0"/>
    <w:pPr>
      <w:ind w:firstLine="420" w:firstLineChars="200"/>
    </w:pPr>
    <w:rPr>
      <w:rFonts w:ascii="Times New Roman" w:hAnsi="Times New Roman" w:eastAsia="Times New Roman" w:cs="Times New Roman"/>
      <w:sz w:val="30"/>
    </w:rPr>
  </w:style>
  <w:style w:type="paragraph" w:styleId="7">
    <w:name w:val="annotation text"/>
    <w:basedOn w:val="1"/>
    <w:qFormat/>
    <w:uiPriority w:val="0"/>
    <w:pPr>
      <w:jc w:val="left"/>
    </w:pPr>
  </w:style>
  <w:style w:type="paragraph" w:styleId="8">
    <w:name w:val="Balloon Text"/>
    <w:basedOn w:val="1"/>
    <w:link w:val="29"/>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line="560" w:lineRule="exact"/>
    </w:pPr>
    <w:rPr>
      <w:rFonts w:ascii="宋体" w:hAnsi="宋体" w:eastAsia="宋体"/>
      <w:b/>
      <w:sz w:val="28"/>
      <w:szCs w:val="28"/>
      <w:lang w:val="zh-TW" w:eastAsia="zh-TW" w:bidi="zh-TW"/>
    </w:rPr>
  </w:style>
  <w:style w:type="paragraph" w:styleId="12">
    <w:name w:val="toc 2"/>
    <w:basedOn w:val="1"/>
    <w:next w:val="1"/>
    <w:unhideWhenUsed/>
    <w:qFormat/>
    <w:uiPriority w:val="39"/>
    <w:pPr>
      <w:ind w:firstLine="100" w:firstLineChars="100"/>
    </w:pPr>
    <w:rPr>
      <w:rFonts w:eastAsia="楷体"/>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正文首行缩进 21"/>
    <w:basedOn w:val="17"/>
    <w:qFormat/>
    <w:uiPriority w:val="0"/>
    <w:pPr>
      <w:spacing w:line="360" w:lineRule="auto"/>
    </w:pPr>
    <w:rPr>
      <w:rFonts w:eastAsia="宋体"/>
      <w:sz w:val="24"/>
    </w:rPr>
  </w:style>
  <w:style w:type="paragraph" w:customStyle="1" w:styleId="17">
    <w:name w:val="正文文本缩进1"/>
    <w:basedOn w:val="1"/>
    <w:qFormat/>
    <w:uiPriority w:val="0"/>
    <w:pPr>
      <w:spacing w:line="150" w:lineRule="atLeast"/>
      <w:ind w:firstLine="420" w:firstLineChars="200"/>
      <w:textAlignment w:val="baseline"/>
    </w:pPr>
    <w:rPr>
      <w:rFonts w:ascii="Times New Roman" w:hAnsi="Times New Roman" w:cs="Times New Roman"/>
    </w:rPr>
  </w:style>
  <w:style w:type="paragraph" w:customStyle="1" w:styleId="18">
    <w:name w:val="Body text|1"/>
    <w:basedOn w:val="1"/>
    <w:link w:val="23"/>
    <w:qFormat/>
    <w:uiPriority w:val="99"/>
    <w:pPr>
      <w:spacing w:line="406" w:lineRule="auto"/>
      <w:ind w:firstLine="400"/>
    </w:pPr>
    <w:rPr>
      <w:rFonts w:ascii="宋体" w:hAnsi="宋体" w:eastAsia="宋体" w:cs="宋体"/>
      <w:sz w:val="30"/>
      <w:szCs w:val="30"/>
      <w:lang w:val="zh-TW" w:eastAsia="zh-TW" w:bidi="zh-TW"/>
    </w:rPr>
  </w:style>
  <w:style w:type="character" w:customStyle="1" w:styleId="19">
    <w:name w:val="页眉 Char"/>
    <w:basedOn w:val="13"/>
    <w:link w:val="10"/>
    <w:qFormat/>
    <w:uiPriority w:val="0"/>
    <w:rPr>
      <w:rFonts w:asciiTheme="minorHAnsi" w:hAnsiTheme="minorHAnsi" w:eastAsiaTheme="minorEastAsia" w:cstheme="minorBidi"/>
      <w:kern w:val="2"/>
      <w:sz w:val="18"/>
      <w:szCs w:val="18"/>
    </w:rPr>
  </w:style>
  <w:style w:type="character" w:customStyle="1" w:styleId="20">
    <w:name w:val="页脚 Char"/>
    <w:basedOn w:val="13"/>
    <w:link w:val="9"/>
    <w:qFormat/>
    <w:uiPriority w:val="99"/>
    <w:rPr>
      <w:rFonts w:asciiTheme="minorHAnsi" w:hAnsiTheme="minorHAnsi" w:eastAsiaTheme="minorEastAsia" w:cstheme="minorBidi"/>
      <w:kern w:val="2"/>
      <w:sz w:val="18"/>
      <w:szCs w:val="18"/>
    </w:rPr>
  </w:style>
  <w:style w:type="character" w:customStyle="1" w:styleId="21">
    <w:name w:val="Body text|3_"/>
    <w:basedOn w:val="13"/>
    <w:link w:val="22"/>
    <w:qFormat/>
    <w:locked/>
    <w:uiPriority w:val="99"/>
    <w:rPr>
      <w:rFonts w:ascii="宋体" w:hAnsi="宋体" w:cs="宋体"/>
      <w:sz w:val="72"/>
      <w:szCs w:val="72"/>
      <w:lang w:val="zh-TW" w:eastAsia="zh-TW"/>
    </w:rPr>
  </w:style>
  <w:style w:type="paragraph" w:customStyle="1" w:styleId="22">
    <w:name w:val="Body text|3"/>
    <w:basedOn w:val="1"/>
    <w:link w:val="21"/>
    <w:qFormat/>
    <w:uiPriority w:val="99"/>
    <w:pPr>
      <w:spacing w:after="520"/>
      <w:jc w:val="center"/>
    </w:pPr>
    <w:rPr>
      <w:rFonts w:ascii="宋体" w:hAnsi="宋体" w:eastAsia="宋体" w:cs="宋体"/>
      <w:kern w:val="0"/>
      <w:sz w:val="72"/>
      <w:szCs w:val="72"/>
      <w:lang w:val="zh-TW" w:eastAsia="zh-TW"/>
    </w:rPr>
  </w:style>
  <w:style w:type="character" w:customStyle="1" w:styleId="23">
    <w:name w:val="Body text|1_"/>
    <w:basedOn w:val="13"/>
    <w:link w:val="18"/>
    <w:qFormat/>
    <w:locked/>
    <w:uiPriority w:val="99"/>
    <w:rPr>
      <w:rFonts w:ascii="宋体" w:hAnsi="宋体" w:cs="宋体"/>
      <w:kern w:val="2"/>
      <w:sz w:val="30"/>
      <w:szCs w:val="30"/>
      <w:lang w:val="zh-TW" w:eastAsia="zh-TW" w:bidi="zh-TW"/>
    </w:rPr>
  </w:style>
  <w:style w:type="character" w:customStyle="1" w:styleId="24">
    <w:name w:val="Body text|4_"/>
    <w:basedOn w:val="13"/>
    <w:link w:val="25"/>
    <w:qFormat/>
    <w:locked/>
    <w:uiPriority w:val="99"/>
    <w:rPr>
      <w:sz w:val="32"/>
      <w:szCs w:val="32"/>
      <w:lang w:val="zh-TW" w:eastAsia="zh-TW"/>
    </w:rPr>
  </w:style>
  <w:style w:type="paragraph" w:customStyle="1" w:styleId="25">
    <w:name w:val="Body text|4"/>
    <w:basedOn w:val="1"/>
    <w:link w:val="24"/>
    <w:qFormat/>
    <w:uiPriority w:val="99"/>
    <w:pPr>
      <w:jc w:val="center"/>
    </w:pPr>
    <w:rPr>
      <w:rFonts w:ascii="Times New Roman" w:hAnsi="Times New Roman" w:eastAsia="宋体" w:cs="Times New Roman"/>
      <w:kern w:val="0"/>
      <w:sz w:val="32"/>
      <w:szCs w:val="32"/>
      <w:lang w:val="zh-TW" w:eastAsia="zh-TW"/>
    </w:rPr>
  </w:style>
  <w:style w:type="paragraph" w:customStyle="1" w:styleId="26">
    <w:name w:val="Table of contents|1"/>
    <w:basedOn w:val="1"/>
    <w:qFormat/>
    <w:uiPriority w:val="99"/>
    <w:pPr>
      <w:spacing w:after="240"/>
      <w:ind w:firstLine="140"/>
      <w:jc w:val="left"/>
    </w:pPr>
    <w:rPr>
      <w:rFonts w:ascii="宋体" w:hAnsi="宋体" w:eastAsia="宋体" w:cs="宋体"/>
      <w:color w:val="000000"/>
      <w:kern w:val="0"/>
      <w:sz w:val="28"/>
      <w:szCs w:val="28"/>
      <w:lang w:val="zh-TW" w:eastAsia="zh-TW"/>
    </w:rPr>
  </w:style>
  <w:style w:type="character" w:customStyle="1" w:styleId="27">
    <w:name w:val="标题 1 Char"/>
    <w:basedOn w:val="13"/>
    <w:link w:val="4"/>
    <w:qFormat/>
    <w:uiPriority w:val="0"/>
    <w:rPr>
      <w:rFonts w:eastAsia="黑体"/>
      <w:b/>
      <w:bCs/>
      <w:color w:val="000000"/>
      <w:kern w:val="44"/>
      <w:sz w:val="30"/>
      <w:szCs w:val="44"/>
      <w:lang w:eastAsia="en-US"/>
    </w:rPr>
  </w:style>
  <w:style w:type="character" w:customStyle="1" w:styleId="28">
    <w:name w:val="标题 2 Char"/>
    <w:basedOn w:val="13"/>
    <w:link w:val="5"/>
    <w:qFormat/>
    <w:uiPriority w:val="0"/>
    <w:rPr>
      <w:rFonts w:ascii="Cambria" w:hAnsi="Cambria"/>
      <w:b/>
      <w:bCs/>
      <w:color w:val="000000"/>
      <w:sz w:val="28"/>
      <w:szCs w:val="32"/>
      <w:lang w:eastAsia="en-US"/>
    </w:rPr>
  </w:style>
  <w:style w:type="character" w:customStyle="1" w:styleId="2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9D80B-0871-4AAB-A265-97C6096DFE21}">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25866</Words>
  <Characters>26189</Characters>
  <Lines>196</Lines>
  <Paragraphs>55</Paragraphs>
  <TotalTime>0</TotalTime>
  <ScaleCrop>false</ScaleCrop>
  <LinksUpToDate>false</LinksUpToDate>
  <CharactersWithSpaces>26216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2022-01-21T14:02:00Z</dcterms:created>
  <dc:creator>vanessa</dc:creator>
  <cp:lastModifiedBy>Administrator</cp:lastModifiedBy>
  <cp:lastPrinted>2022-03-11T06:54:00Z</cp:lastPrinted>
  <dcterms:modified xsi:type="dcterms:W3CDTF">2025-07-28T08:15:18Z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AF6B8F8D0AD64FC78A390A839B4674FF</vt:lpwstr>
  </property>
  <property fmtid="{D5CDD505-2E9C-101B-9397-08002B2CF9AE}" pid="4" name="commondata">
    <vt:lpwstr>eyJoZGlkIjoiNWYxMTExNDQ0ZjY5ZmJkNTFmY2NjOWJhN2I1OWIxYjAifQ==</vt:lpwstr>
  </property>
</Properties>
</file>