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spacing w:after="156" w:afterLines="50"/>
        <w:ind w:firstLine="0" w:firstLineChars="0"/>
        <w:jc w:val="center"/>
        <w:rPr>
          <w:rFonts w:ascii="华文中宋" w:hAnsi="华文中宋" w:eastAsia="华文中宋"/>
          <w:b/>
          <w:bCs/>
          <w:sz w:val="44"/>
          <w:szCs w:val="44"/>
        </w:rPr>
      </w:pPr>
      <w:r>
        <w:rPr>
          <w:rFonts w:hint="eastAsia" w:ascii="华文中宋" w:hAnsi="华文中宋" w:eastAsia="华文中宋"/>
          <w:b/>
          <w:bCs/>
          <w:sz w:val="44"/>
          <w:szCs w:val="44"/>
        </w:rPr>
        <w:t>揭阳市揭东区现代服务业发展</w:t>
      </w:r>
    </w:p>
    <w:p>
      <w:pPr>
        <w:ind w:firstLine="0" w:firstLineChars="0"/>
        <w:jc w:val="center"/>
        <w:rPr>
          <w:rFonts w:ascii="华文中宋" w:hAnsi="华文中宋" w:eastAsia="华文中宋"/>
          <w:b/>
          <w:bCs/>
          <w:sz w:val="44"/>
          <w:szCs w:val="44"/>
        </w:rPr>
      </w:pPr>
      <w:r>
        <w:rPr>
          <w:rFonts w:hint="eastAsia" w:ascii="华文中宋" w:hAnsi="华文中宋" w:eastAsia="华文中宋"/>
          <w:b/>
          <w:bCs/>
          <w:sz w:val="44"/>
          <w:szCs w:val="44"/>
        </w:rPr>
        <w:t>“十四五”规划</w:t>
      </w: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Cs w:val="32"/>
        </w:rPr>
      </w:pPr>
    </w:p>
    <w:p>
      <w:pPr>
        <w:ind w:firstLine="0" w:firstLineChars="0"/>
        <w:jc w:val="center"/>
        <w:rPr>
          <w:rFonts w:ascii="方正小标宋简体" w:hAnsi="黑体" w:eastAsia="方正小标宋简体"/>
          <w:szCs w:val="32"/>
        </w:rPr>
      </w:pPr>
    </w:p>
    <w:p>
      <w:pPr>
        <w:ind w:firstLine="0" w:firstLineChars="0"/>
        <w:jc w:val="center"/>
        <w:rPr>
          <w:rFonts w:ascii="方正小标宋简体" w:hAnsi="黑体" w:eastAsia="方正小标宋简体"/>
          <w:szCs w:val="32"/>
        </w:rPr>
      </w:pPr>
    </w:p>
    <w:p>
      <w:pPr>
        <w:ind w:firstLine="640"/>
        <w:rPr>
          <w:rFonts w:ascii="仿宋" w:hAnsi="仿宋"/>
        </w:rPr>
      </w:pPr>
    </w:p>
    <w:p>
      <w:pPr>
        <w:ind w:firstLine="640"/>
        <w:rPr>
          <w:rFonts w:ascii="仿宋" w:hAnsi="仿宋"/>
        </w:rPr>
      </w:pPr>
    </w:p>
    <w:p>
      <w:pPr>
        <w:ind w:firstLine="640"/>
        <w:rPr>
          <w:rFonts w:ascii="仿宋" w:hAnsi="仿宋"/>
        </w:rPr>
      </w:pPr>
    </w:p>
    <w:p>
      <w:pPr>
        <w:ind w:firstLine="640"/>
        <w:rPr>
          <w:rFonts w:ascii="仿宋" w:hAnsi="仿宋"/>
        </w:rPr>
      </w:pPr>
    </w:p>
    <w:p>
      <w:pPr>
        <w:ind w:firstLine="640"/>
        <w:rPr>
          <w:rFonts w:ascii="仿宋" w:hAnsi="仿宋"/>
        </w:rPr>
      </w:pPr>
    </w:p>
    <w:p>
      <w:pPr>
        <w:ind w:firstLine="640"/>
        <w:rPr>
          <w:rFonts w:ascii="仿宋" w:hAnsi="仿宋"/>
        </w:rPr>
      </w:pPr>
    </w:p>
    <w:p>
      <w:pPr>
        <w:ind w:firstLine="640"/>
        <w:rPr>
          <w:rFonts w:ascii="仿宋" w:hAnsi="仿宋"/>
        </w:rPr>
      </w:pPr>
    </w:p>
    <w:p>
      <w:pPr>
        <w:ind w:firstLine="640"/>
        <w:rPr>
          <w:rFonts w:ascii="仿宋" w:hAnsi="仿宋"/>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sdt>
      <w:sdtPr>
        <w:rPr>
          <w:rFonts w:ascii="Times New Roman" w:hAnsi="Times New Roman" w:eastAsia="仿宋" w:cs="Times New Roman"/>
          <w:color w:val="auto"/>
          <w:kern w:val="2"/>
          <w:szCs w:val="20"/>
          <w:lang w:val="zh-CN"/>
        </w:rPr>
        <w:id w:val="1378977109"/>
        <w:docPartObj>
          <w:docPartGallery w:val="Table of Contents"/>
          <w:docPartUnique/>
        </w:docPartObj>
      </w:sdtPr>
      <w:sdtEndPr>
        <w:rPr>
          <w:rFonts w:ascii="Times New Roman" w:hAnsi="Times New Roman" w:eastAsia="仿宋" w:cs="Times New Roman"/>
          <w:b/>
          <w:bCs/>
          <w:color w:val="auto"/>
          <w:kern w:val="2"/>
          <w:szCs w:val="20"/>
          <w:lang w:val="zh-CN"/>
        </w:rPr>
      </w:sdtEndPr>
      <w:sdtContent>
        <w:p>
          <w:pPr>
            <w:pStyle w:val="36"/>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 xml:space="preserve"> 录</w:t>
          </w:r>
        </w:p>
        <w:p>
          <w:pPr>
            <w:pStyle w:val="17"/>
            <w:rPr>
              <w:rFonts w:asciiTheme="minorHAnsi" w:hAnsiTheme="minorHAnsi" w:eastAsiaTheme="minorEastAsia" w:cstheme="minorBidi"/>
              <w:bCs w:val="0"/>
              <w:caps w:val="0"/>
              <w:sz w:val="21"/>
              <w:szCs w:val="22"/>
            </w:rPr>
          </w:pPr>
          <w:r>
            <w:fldChar w:fldCharType="begin"/>
          </w:r>
          <w:r>
            <w:instrText xml:space="preserve"> TOC \o "1-2" \h \z \u </w:instrText>
          </w:r>
          <w:r>
            <w:fldChar w:fldCharType="separate"/>
          </w:r>
          <w:r>
            <w:fldChar w:fldCharType="begin"/>
          </w:r>
          <w:r>
            <w:instrText xml:space="preserve"> HYPERLINK \l "_Toc75367575" </w:instrText>
          </w:r>
          <w:r>
            <w:fldChar w:fldCharType="separate"/>
          </w:r>
          <w:r>
            <w:rPr>
              <w:rStyle w:val="27"/>
              <w:color w:val="auto"/>
            </w:rPr>
            <w:t>前  言</w:t>
          </w:r>
          <w:r>
            <w:tab/>
          </w:r>
          <w:r>
            <w:fldChar w:fldCharType="begin"/>
          </w:r>
          <w:r>
            <w:instrText xml:space="preserve"> PAGEREF _Toc75367575 \h </w:instrText>
          </w:r>
          <w:r>
            <w:fldChar w:fldCharType="separate"/>
          </w:r>
          <w:r>
            <w:t>1</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"_Toc75367576" </w:instrText>
          </w:r>
          <w:r>
            <w:fldChar w:fldCharType="separate"/>
          </w:r>
          <w:r>
            <w:rPr>
              <w:rStyle w:val="27"/>
              <w:color w:val="auto"/>
            </w:rPr>
            <w:t>第一章 发展基础与形势</w:t>
          </w:r>
          <w:r>
            <w:tab/>
          </w:r>
          <w:r>
            <w:fldChar w:fldCharType="begin"/>
          </w:r>
          <w:r>
            <w:instrText xml:space="preserve"> PAGEREF _Toc75367576 \h </w:instrText>
          </w:r>
          <w:r>
            <w:fldChar w:fldCharType="separate"/>
          </w:r>
          <w:r>
            <w:t>2</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"_Toc75367577" </w:instrText>
          </w:r>
          <w:r>
            <w:fldChar w:fldCharType="separate"/>
          </w:r>
          <w:r>
            <w:rPr>
              <w:rStyle w:val="27"/>
              <w:color w:val="auto"/>
            </w:rPr>
            <w:t>第一节 发展基础</w:t>
          </w:r>
          <w:r>
            <w:tab/>
          </w:r>
          <w:r>
            <w:fldChar w:fldCharType="begin"/>
          </w:r>
          <w:r>
            <w:instrText xml:space="preserve"> PAGEREF _Toc75367577 \h </w:instrText>
          </w:r>
          <w:r>
            <w:fldChar w:fldCharType="separate"/>
          </w:r>
          <w:r>
            <w:t>2</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"_Toc75367578" </w:instrText>
          </w:r>
          <w:r>
            <w:fldChar w:fldCharType="separate"/>
          </w:r>
          <w:r>
            <w:rPr>
              <w:rStyle w:val="27"/>
              <w:color w:val="auto"/>
            </w:rPr>
            <w:t>第二节 发展环境</w:t>
          </w:r>
          <w:r>
            <w:tab/>
          </w:r>
          <w:r>
            <w:fldChar w:fldCharType="begin"/>
          </w:r>
          <w:r>
            <w:instrText xml:space="preserve"> PAGEREF _Toc75367578 \h </w:instrText>
          </w:r>
          <w:r>
            <w:fldChar w:fldCharType="separate"/>
          </w:r>
          <w:r>
            <w:t>6</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"_Toc75367579" </w:instrText>
          </w:r>
          <w:r>
            <w:fldChar w:fldCharType="separate"/>
          </w:r>
          <w:r>
            <w:rPr>
              <w:rStyle w:val="27"/>
              <w:color w:val="auto"/>
            </w:rPr>
            <w:t>第三节 存在问题</w:t>
          </w:r>
          <w:r>
            <w:tab/>
          </w:r>
          <w:r>
            <w:fldChar w:fldCharType="begin"/>
          </w:r>
          <w:r>
            <w:instrText xml:space="preserve"> PAGEREF _Toc75367579 \h </w:instrText>
          </w:r>
          <w:r>
            <w:fldChar w:fldCharType="separate"/>
          </w:r>
          <w:r>
            <w:t>10</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"_Toc75367580" </w:instrText>
          </w:r>
          <w:r>
            <w:fldChar w:fldCharType="separate"/>
          </w:r>
          <w:r>
            <w:rPr>
              <w:rStyle w:val="27"/>
              <w:color w:val="auto"/>
            </w:rPr>
            <w:t>第二章 总体思路与目标</w:t>
          </w:r>
          <w:r>
            <w:tab/>
          </w:r>
          <w:r>
            <w:fldChar w:fldCharType="begin"/>
          </w:r>
          <w:r>
            <w:instrText xml:space="preserve"> PAGEREF _Toc75367580 \h </w:instrText>
          </w:r>
          <w:r>
            <w:fldChar w:fldCharType="separate"/>
          </w:r>
          <w:r>
            <w:t>13</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"_Toc75367581" </w:instrText>
          </w:r>
          <w:r>
            <w:fldChar w:fldCharType="separate"/>
          </w:r>
          <w:r>
            <w:rPr>
              <w:rStyle w:val="27"/>
              <w:color w:val="auto"/>
            </w:rPr>
            <w:t>第一节 指导思想</w:t>
          </w:r>
          <w:r>
            <w:tab/>
          </w:r>
          <w:r>
            <w:fldChar w:fldCharType="begin"/>
          </w:r>
          <w:r>
            <w:instrText xml:space="preserve"> PAGEREF _Toc75367581 \h </w:instrText>
          </w:r>
          <w:r>
            <w:fldChar w:fldCharType="separate"/>
          </w:r>
          <w:r>
            <w:t>13</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"_Toc75367582" </w:instrText>
          </w:r>
          <w:r>
            <w:fldChar w:fldCharType="separate"/>
          </w:r>
          <w:r>
            <w:rPr>
              <w:rStyle w:val="27"/>
              <w:color w:val="auto"/>
            </w:rPr>
            <w:t>第二节 基本原则</w:t>
          </w:r>
          <w:r>
            <w:tab/>
          </w:r>
          <w:r>
            <w:fldChar w:fldCharType="begin"/>
          </w:r>
          <w:r>
            <w:instrText xml:space="preserve"> PAGEREF _Toc75367582 \h </w:instrText>
          </w:r>
          <w:r>
            <w:fldChar w:fldCharType="separate"/>
          </w:r>
          <w:r>
            <w:t>13</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"_Toc75367583" </w:instrText>
          </w:r>
          <w:r>
            <w:fldChar w:fldCharType="separate"/>
          </w:r>
          <w:r>
            <w:rPr>
              <w:rStyle w:val="27"/>
              <w:color w:val="auto"/>
            </w:rPr>
            <w:t>第三节 总体目标</w:t>
          </w:r>
          <w:r>
            <w:tab/>
          </w:r>
          <w:r>
            <w:fldChar w:fldCharType="begin"/>
          </w:r>
          <w:r>
            <w:instrText xml:space="preserve"> PAGEREF _Toc75367583 \h </w:instrText>
          </w:r>
          <w:r>
            <w:fldChar w:fldCharType="separate"/>
          </w:r>
          <w:r>
            <w:t>15</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"_Toc75367584" </w:instrText>
          </w:r>
          <w:r>
            <w:fldChar w:fldCharType="separate"/>
          </w:r>
          <w:r>
            <w:rPr>
              <w:rStyle w:val="27"/>
              <w:color w:val="auto"/>
            </w:rPr>
            <w:t>第四节 发展战略</w:t>
          </w:r>
          <w:r>
            <w:tab/>
          </w:r>
          <w:r>
            <w:fldChar w:fldCharType="begin"/>
          </w:r>
          <w:r>
            <w:instrText xml:space="preserve"> PAGEREF _Toc75367584 \h </w:instrText>
          </w:r>
          <w:r>
            <w:fldChar w:fldCharType="separate"/>
          </w:r>
          <w:r>
            <w:t>16</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"_Toc75367585" </w:instrText>
          </w:r>
          <w:r>
            <w:fldChar w:fldCharType="separate"/>
          </w:r>
          <w:r>
            <w:rPr>
              <w:rStyle w:val="27"/>
              <w:color w:val="auto"/>
            </w:rPr>
            <w:t>第三章 优化发展布局，实现产业空间集群化</w:t>
          </w:r>
          <w:r>
            <w:tab/>
          </w:r>
          <w:r>
            <w:fldChar w:fldCharType="begin"/>
          </w:r>
          <w:r>
            <w:instrText xml:space="preserve"> PAGEREF _Toc75367585 \h </w:instrText>
          </w:r>
          <w:r>
            <w:fldChar w:fldCharType="separate"/>
          </w:r>
          <w:r>
            <w:t>18</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"_Toc75367586" </w:instrText>
          </w:r>
          <w:r>
            <w:fldChar w:fldCharType="separate"/>
          </w:r>
          <w:r>
            <w:rPr>
              <w:rStyle w:val="27"/>
              <w:color w:val="auto"/>
            </w:rPr>
            <w:t>第一节 发展曲溪、磐东城市消费中心</w:t>
          </w:r>
          <w:r>
            <w:tab/>
          </w:r>
          <w:r>
            <w:fldChar w:fldCharType="begin"/>
          </w:r>
          <w:r>
            <w:instrText xml:space="preserve"> PAGEREF _Toc75367586 \h </w:instrText>
          </w:r>
          <w:r>
            <w:fldChar w:fldCharType="separate"/>
          </w:r>
          <w:r>
            <w:t>18</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"_Toc75367587" </w:instrText>
          </w:r>
          <w:r>
            <w:fldChar w:fldCharType="separate"/>
          </w:r>
          <w:r>
            <w:rPr>
              <w:rStyle w:val="27"/>
              <w:color w:val="auto"/>
            </w:rPr>
            <w:t>第二节 发展高铁新城现代商贸服务中心</w:t>
          </w:r>
          <w:r>
            <w:tab/>
          </w:r>
          <w:r>
            <w:fldChar w:fldCharType="begin"/>
          </w:r>
          <w:r>
            <w:instrText xml:space="preserve"> PAGEREF _Toc75367587 \h </w:instrText>
          </w:r>
          <w:r>
            <w:fldChar w:fldCharType="separate"/>
          </w:r>
          <w:r>
            <w:t>18</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"_Toc75367588" </w:instrText>
          </w:r>
          <w:r>
            <w:fldChar w:fldCharType="separate"/>
          </w:r>
          <w:r>
            <w:rPr>
              <w:rStyle w:val="27"/>
              <w:color w:val="auto"/>
            </w:rPr>
            <w:t>第三节 做强两大服务型制造核心平台</w:t>
          </w:r>
          <w:r>
            <w:tab/>
          </w:r>
          <w:r>
            <w:fldChar w:fldCharType="begin"/>
          </w:r>
          <w:r>
            <w:instrText xml:space="preserve"> PAGEREF _Toc75367588 \h </w:instrText>
          </w:r>
          <w:r>
            <w:fldChar w:fldCharType="separate"/>
          </w:r>
          <w:r>
            <w:t>19</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"_Toc75367589" </w:instrText>
          </w:r>
          <w:r>
            <w:fldChar w:fldCharType="separate"/>
          </w:r>
          <w:r>
            <w:rPr>
              <w:rStyle w:val="27"/>
              <w:color w:val="auto"/>
            </w:rPr>
            <w:t>第四节 优化城镇服务业特色发展组团</w:t>
          </w:r>
          <w:r>
            <w:tab/>
          </w:r>
          <w:r>
            <w:fldChar w:fldCharType="begin"/>
          </w:r>
          <w:r>
            <w:instrText xml:space="preserve"> PAGEREF _Toc75367589 \h </w:instrText>
          </w:r>
          <w:r>
            <w:fldChar w:fldCharType="separate"/>
          </w:r>
          <w:r>
            <w:t>20</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"_Toc75367590" </w:instrText>
          </w:r>
          <w:r>
            <w:fldChar w:fldCharType="separate"/>
          </w:r>
          <w:r>
            <w:rPr>
              <w:rStyle w:val="27"/>
              <w:color w:val="auto"/>
            </w:rPr>
            <w:t>第四章 锻造关键链条，助推产业体系现代化</w:t>
          </w:r>
          <w:r>
            <w:tab/>
          </w:r>
          <w:r>
            <w:fldChar w:fldCharType="begin"/>
          </w:r>
          <w:r>
            <w:instrText xml:space="preserve"> PAGEREF _Toc75367590 \h </w:instrText>
          </w:r>
          <w:r>
            <w:fldChar w:fldCharType="separate"/>
          </w:r>
          <w:r>
            <w:t>22</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"_Toc75367591" </w:instrText>
          </w:r>
          <w:r>
            <w:fldChar w:fldCharType="separate"/>
          </w:r>
          <w:r>
            <w:rPr>
              <w:rStyle w:val="27"/>
              <w:color w:val="auto"/>
            </w:rPr>
            <w:t>第一节 重点发展生产性服务业</w:t>
          </w:r>
          <w:r>
            <w:tab/>
          </w:r>
          <w:r>
            <w:fldChar w:fldCharType="begin"/>
          </w:r>
          <w:r>
            <w:instrText xml:space="preserve"> PAGEREF _Toc75367591 \h </w:instrText>
          </w:r>
          <w:r>
            <w:fldChar w:fldCharType="separate"/>
          </w:r>
          <w:r>
            <w:t>22</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"_Toc75367592" </w:instrText>
          </w:r>
          <w:r>
            <w:fldChar w:fldCharType="separate"/>
          </w:r>
          <w:r>
            <w:rPr>
              <w:rStyle w:val="27"/>
              <w:color w:val="auto"/>
            </w:rPr>
            <w:t>第二节 大力发展生活性服务业</w:t>
          </w:r>
          <w:r>
            <w:tab/>
          </w:r>
          <w:r>
            <w:fldChar w:fldCharType="begin"/>
          </w:r>
          <w:r>
            <w:instrText xml:space="preserve"> PAGEREF _Toc75367592 \h </w:instrText>
          </w:r>
          <w:r>
            <w:fldChar w:fldCharType="separate"/>
          </w:r>
          <w:r>
            <w:t>35</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"_Toc75367593" </w:instrText>
          </w:r>
          <w:r>
            <w:fldChar w:fldCharType="separate"/>
          </w:r>
          <w:r>
            <w:rPr>
              <w:rStyle w:val="27"/>
              <w:color w:val="auto"/>
            </w:rPr>
            <w:t>第三节 创新发展新兴服务业</w:t>
          </w:r>
          <w:r>
            <w:tab/>
          </w:r>
          <w:r>
            <w:fldChar w:fldCharType="begin"/>
          </w:r>
          <w:r>
            <w:instrText xml:space="preserve"> PAGEREF _Toc75367593 \h </w:instrText>
          </w:r>
          <w:r>
            <w:fldChar w:fldCharType="separate"/>
          </w:r>
          <w:r>
            <w:t>45</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"_Toc75367594" </w:instrText>
          </w:r>
          <w:r>
            <w:fldChar w:fldCharType="separate"/>
          </w:r>
          <w:r>
            <w:rPr>
              <w:rStyle w:val="27"/>
              <w:color w:val="auto"/>
            </w:rPr>
            <w:t>第四节 促进服务业跨界融合发展</w:t>
          </w:r>
          <w:r>
            <w:tab/>
          </w:r>
          <w:r>
            <w:fldChar w:fldCharType="begin"/>
          </w:r>
          <w:r>
            <w:instrText xml:space="preserve"> PAGEREF _Toc75367594 \h </w:instrText>
          </w:r>
          <w:r>
            <w:fldChar w:fldCharType="separate"/>
          </w:r>
          <w:r>
            <w:t>51</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"_Toc75367595" </w:instrText>
          </w:r>
          <w:r>
            <w:fldChar w:fldCharType="separate"/>
          </w:r>
          <w:r>
            <w:rPr>
              <w:rStyle w:val="27"/>
              <w:color w:val="auto"/>
            </w:rPr>
            <w:t>第五章 落实重点工程，实现产业发展高端化</w:t>
          </w:r>
          <w:r>
            <w:tab/>
          </w:r>
          <w:r>
            <w:fldChar w:fldCharType="begin"/>
          </w:r>
          <w:r>
            <w:instrText xml:space="preserve"> PAGEREF _Toc75367595 \h </w:instrText>
          </w:r>
          <w:r>
            <w:fldChar w:fldCharType="separate"/>
          </w:r>
          <w:r>
            <w:t>56</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"_Toc75367596" </w:instrText>
          </w:r>
          <w:r>
            <w:fldChar w:fldCharType="separate"/>
          </w:r>
          <w:r>
            <w:rPr>
              <w:rStyle w:val="27"/>
              <w:color w:val="auto"/>
            </w:rPr>
            <w:t>第一节 平台载体提质工程</w:t>
          </w:r>
          <w:r>
            <w:tab/>
          </w:r>
          <w:r>
            <w:fldChar w:fldCharType="begin"/>
          </w:r>
          <w:r>
            <w:instrText xml:space="preserve"> PAGEREF _Toc75367596 \h </w:instrText>
          </w:r>
          <w:r>
            <w:fldChar w:fldCharType="separate"/>
          </w:r>
          <w:r>
            <w:t>56</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"_Toc75367597" </w:instrText>
          </w:r>
          <w:r>
            <w:fldChar w:fldCharType="separate"/>
          </w:r>
          <w:r>
            <w:rPr>
              <w:rStyle w:val="27"/>
              <w:color w:val="auto"/>
            </w:rPr>
            <w:t>第二节 重点企业培育工程</w:t>
          </w:r>
          <w:r>
            <w:tab/>
          </w:r>
          <w:r>
            <w:fldChar w:fldCharType="begin"/>
          </w:r>
          <w:r>
            <w:instrText xml:space="preserve"> PAGEREF _Toc75367597 \h </w:instrText>
          </w:r>
          <w:r>
            <w:fldChar w:fldCharType="separate"/>
          </w:r>
          <w:r>
            <w:t>58</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"_Toc75367598" </w:instrText>
          </w:r>
          <w:r>
            <w:fldChar w:fldCharType="separate"/>
          </w:r>
          <w:r>
            <w:rPr>
              <w:rStyle w:val="27"/>
              <w:color w:val="auto"/>
            </w:rPr>
            <w:t>第三节 品牌化、标准化工程</w:t>
          </w:r>
          <w:r>
            <w:tab/>
          </w:r>
          <w:r>
            <w:fldChar w:fldCharType="begin"/>
          </w:r>
          <w:r>
            <w:instrText xml:space="preserve"> PAGEREF _Toc75367598 \h </w:instrText>
          </w:r>
          <w:r>
            <w:fldChar w:fldCharType="separate"/>
          </w:r>
          <w:r>
            <w:t>59</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"_Toc75367599" </w:instrText>
          </w:r>
          <w:r>
            <w:fldChar w:fldCharType="separate"/>
          </w:r>
          <w:r>
            <w:rPr>
              <w:rStyle w:val="27"/>
              <w:color w:val="auto"/>
            </w:rPr>
            <w:t>第四节 高端人才集聚工程</w:t>
          </w:r>
          <w:r>
            <w:tab/>
          </w:r>
          <w:r>
            <w:fldChar w:fldCharType="begin"/>
          </w:r>
          <w:r>
            <w:instrText xml:space="preserve"> PAGEREF _Toc75367599 \h </w:instrText>
          </w:r>
          <w:r>
            <w:fldChar w:fldCharType="separate"/>
          </w:r>
          <w:r>
            <w:t>60</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"_Toc75367600" </w:instrText>
          </w:r>
          <w:r>
            <w:fldChar w:fldCharType="separate"/>
          </w:r>
          <w:r>
            <w:rPr>
              <w:rStyle w:val="27"/>
              <w:color w:val="auto"/>
            </w:rPr>
            <w:t>第五节 营商环境优化工程</w:t>
          </w:r>
          <w:r>
            <w:tab/>
          </w:r>
          <w:r>
            <w:fldChar w:fldCharType="begin"/>
          </w:r>
          <w:r>
            <w:instrText xml:space="preserve"> PAGEREF _Toc75367600 \h </w:instrText>
          </w:r>
          <w:r>
            <w:fldChar w:fldCharType="separate"/>
          </w:r>
          <w:r>
            <w:t>61</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"_Toc75367601" </w:instrText>
          </w:r>
          <w:r>
            <w:fldChar w:fldCharType="separate"/>
          </w:r>
          <w:r>
            <w:rPr>
              <w:rStyle w:val="27"/>
              <w:color w:val="auto"/>
            </w:rPr>
            <w:t>第六节 服务业开放合作工程</w:t>
          </w:r>
          <w:r>
            <w:tab/>
          </w:r>
          <w:r>
            <w:fldChar w:fldCharType="begin"/>
          </w:r>
          <w:r>
            <w:instrText xml:space="preserve"> PAGEREF _Toc75367601 \h </w:instrText>
          </w:r>
          <w:r>
            <w:fldChar w:fldCharType="separate"/>
          </w:r>
          <w:r>
            <w:t>62</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"_Toc75367602" </w:instrText>
          </w:r>
          <w:r>
            <w:fldChar w:fldCharType="separate"/>
          </w:r>
          <w:r>
            <w:rPr>
              <w:rStyle w:val="27"/>
              <w:color w:val="auto"/>
            </w:rPr>
            <w:t>第七节 重大项目推进工程</w:t>
          </w:r>
          <w:r>
            <w:tab/>
          </w:r>
          <w:r>
            <w:fldChar w:fldCharType="begin"/>
          </w:r>
          <w:r>
            <w:instrText xml:space="preserve"> PAGEREF _Toc75367602 \h </w:instrText>
          </w:r>
          <w:r>
            <w:fldChar w:fldCharType="separate"/>
          </w:r>
          <w:r>
            <w:t>62</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"_Toc75367603" </w:instrText>
          </w:r>
          <w:r>
            <w:fldChar w:fldCharType="separate"/>
          </w:r>
          <w:r>
            <w:rPr>
              <w:rStyle w:val="27"/>
              <w:color w:val="auto"/>
            </w:rPr>
            <w:t>第六章 保障措施</w:t>
          </w:r>
          <w:r>
            <w:tab/>
          </w:r>
          <w:r>
            <w:fldChar w:fldCharType="begin"/>
          </w:r>
          <w:r>
            <w:instrText xml:space="preserve"> PAGEREF _Toc75367603 \h </w:instrText>
          </w:r>
          <w:r>
            <w:fldChar w:fldCharType="separate"/>
          </w:r>
          <w:r>
            <w:t>64</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"_Toc75367604" </w:instrText>
          </w:r>
          <w:r>
            <w:fldChar w:fldCharType="separate"/>
          </w:r>
          <w:r>
            <w:rPr>
              <w:rStyle w:val="27"/>
              <w:color w:val="auto"/>
            </w:rPr>
            <w:t>第一节 强化领导统筹</w:t>
          </w:r>
          <w:r>
            <w:tab/>
          </w:r>
          <w:r>
            <w:fldChar w:fldCharType="begin"/>
          </w:r>
          <w:r>
            <w:instrText xml:space="preserve"> PAGEREF _Toc75367604 \h </w:instrText>
          </w:r>
          <w:r>
            <w:fldChar w:fldCharType="separate"/>
          </w:r>
          <w:r>
            <w:t>64</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"_Toc75367605" </w:instrText>
          </w:r>
          <w:r>
            <w:fldChar w:fldCharType="separate"/>
          </w:r>
          <w:r>
            <w:rPr>
              <w:rStyle w:val="27"/>
              <w:color w:val="auto"/>
            </w:rPr>
            <w:t>第二节 强化落地实施</w:t>
          </w:r>
          <w:r>
            <w:tab/>
          </w:r>
          <w:r>
            <w:fldChar w:fldCharType="begin"/>
          </w:r>
          <w:r>
            <w:instrText xml:space="preserve"> PAGEREF _Toc75367605 \h </w:instrText>
          </w:r>
          <w:r>
            <w:fldChar w:fldCharType="separate"/>
          </w:r>
          <w:r>
            <w:t>64</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"_Toc75367606" </w:instrText>
          </w:r>
          <w:r>
            <w:fldChar w:fldCharType="separate"/>
          </w:r>
          <w:r>
            <w:rPr>
              <w:rStyle w:val="27"/>
              <w:color w:val="auto"/>
            </w:rPr>
            <w:t>第三节 强化要素供给</w:t>
          </w:r>
          <w:r>
            <w:tab/>
          </w:r>
          <w:r>
            <w:fldChar w:fldCharType="begin"/>
          </w:r>
          <w:r>
            <w:instrText xml:space="preserve"> PAGEREF _Toc75367606 \h </w:instrText>
          </w:r>
          <w:r>
            <w:fldChar w:fldCharType="separate"/>
          </w:r>
          <w:r>
            <w:t>64</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"_Toc75367607" </w:instrText>
          </w:r>
          <w:r>
            <w:fldChar w:fldCharType="separate"/>
          </w:r>
          <w:r>
            <w:rPr>
              <w:rStyle w:val="27"/>
              <w:color w:val="auto"/>
            </w:rPr>
            <w:t>第四节 强化统计考核</w:t>
          </w:r>
          <w:r>
            <w:tab/>
          </w:r>
          <w:r>
            <w:fldChar w:fldCharType="begin"/>
          </w:r>
          <w:r>
            <w:instrText xml:space="preserve"> PAGEREF _Toc75367607 \h </w:instrText>
          </w:r>
          <w:r>
            <w:fldChar w:fldCharType="separate"/>
          </w:r>
          <w:r>
            <w:t>65</w:t>
          </w:r>
          <w:r>
            <w:fldChar w:fldCharType="end"/>
          </w:r>
          <w:r>
            <w:fldChar w:fldCharType="end"/>
          </w:r>
        </w:p>
        <w:p>
          <w:pPr>
            <w:pStyle w:val="21"/>
            <w:tabs>
              <w:tab w:val="right" w:leader="dot" w:pos="8296"/>
            </w:tabs>
            <w:ind w:firstLine="640"/>
            <w:rPr>
              <w:rFonts w:asciiTheme="minorHAnsi" w:hAnsiTheme="minorHAnsi" w:eastAsiaTheme="minorEastAsia" w:cstheme="minorBidi"/>
              <w:smallCaps w:val="0"/>
              <w:sz w:val="21"/>
              <w:szCs w:val="22"/>
            </w:rPr>
          </w:pPr>
          <w:r>
            <w:fldChar w:fldCharType="begin"/>
          </w:r>
          <w:r>
            <w:instrText xml:space="preserve"> HYPERLINK \l "_Toc75367608" </w:instrText>
          </w:r>
          <w:r>
            <w:fldChar w:fldCharType="separate"/>
          </w:r>
          <w:r>
            <w:rPr>
              <w:rStyle w:val="27"/>
              <w:color w:val="auto"/>
            </w:rPr>
            <w:t>第五节 强化氛围营造</w:t>
          </w:r>
          <w:r>
            <w:tab/>
          </w:r>
          <w:r>
            <w:fldChar w:fldCharType="begin"/>
          </w:r>
          <w:r>
            <w:instrText xml:space="preserve"> PAGEREF _Toc75367608 \h </w:instrText>
          </w:r>
          <w:r>
            <w:fldChar w:fldCharType="separate"/>
          </w:r>
          <w:r>
            <w:t>66</w:t>
          </w:r>
          <w:r>
            <w:fldChar w:fldCharType="end"/>
          </w:r>
          <w:r>
            <w:fldChar w:fldCharType="end"/>
          </w:r>
        </w:p>
        <w:p>
          <w:pPr>
            <w:pStyle w:val="17"/>
            <w:rPr>
              <w:rFonts w:asciiTheme="minorHAnsi" w:hAnsiTheme="minorHAnsi" w:eastAsiaTheme="minorEastAsia" w:cstheme="minorBidi"/>
              <w:bCs w:val="0"/>
              <w:caps w:val="0"/>
              <w:sz w:val="21"/>
              <w:szCs w:val="22"/>
            </w:rPr>
          </w:pPr>
          <w:r>
            <w:fldChar w:fldCharType="begin"/>
          </w:r>
          <w:r>
            <w:instrText xml:space="preserve"> HYPERLINK \l "_Toc75367609" </w:instrText>
          </w:r>
          <w:r>
            <w:fldChar w:fldCharType="separate"/>
          </w:r>
          <w:r>
            <w:rPr>
              <w:rStyle w:val="27"/>
              <w:color w:val="auto"/>
            </w:rPr>
            <w:t>附件1 揭东区现代服务业</w:t>
          </w:r>
          <w:r>
            <w:rPr>
              <w:rStyle w:val="27"/>
              <w:rFonts w:ascii="黑体" w:hAnsi="黑体"/>
              <w:color w:val="auto"/>
            </w:rPr>
            <w:t>“十四五”</w:t>
          </w:r>
          <w:r>
            <w:rPr>
              <w:rStyle w:val="27"/>
              <w:color w:val="auto"/>
            </w:rPr>
            <w:t>重大项目表</w:t>
          </w:r>
          <w:r>
            <w:tab/>
          </w:r>
          <w:r>
            <w:fldChar w:fldCharType="begin"/>
          </w:r>
          <w:r>
            <w:instrText xml:space="preserve"> PAGEREF _Toc75367609 \h </w:instrText>
          </w:r>
          <w:r>
            <w:fldChar w:fldCharType="separate"/>
          </w:r>
          <w:r>
            <w:t>67</w:t>
          </w:r>
          <w:r>
            <w:fldChar w:fldCharType="end"/>
          </w:r>
          <w:r>
            <w:fldChar w:fldCharType="end"/>
          </w:r>
        </w:p>
        <w:p>
          <w:pPr>
            <w:ind w:firstLine="640"/>
          </w:pPr>
          <w:r>
            <w:fldChar w:fldCharType="end"/>
          </w:r>
        </w:p>
      </w:sdtContent>
    </w:sdt>
    <w:p>
      <w:pPr>
        <w:ind w:firstLine="643"/>
        <w:rPr>
          <w:b/>
          <w:bCs/>
          <w:kern w:val="0"/>
          <w:szCs w:val="32"/>
          <w:lang w:val="zh-CN"/>
        </w:rPr>
      </w:pPr>
    </w:p>
    <w:p>
      <w:pPr>
        <w:ind w:firstLine="640"/>
        <w:sectPr>
          <w:pgSz w:w="11906" w:h="16838"/>
          <w:pgMar w:top="1440" w:right="1800" w:bottom="1440" w:left="1800" w:header="851" w:footer="992" w:gutter="0"/>
          <w:cols w:space="425" w:num="1"/>
          <w:docGrid w:type="lines" w:linePitch="312" w:charSpace="0"/>
        </w:sectPr>
      </w:pPr>
    </w:p>
    <w:p>
      <w:pPr>
        <w:pStyle w:val="2"/>
        <w:spacing w:before="156" w:after="156"/>
      </w:pPr>
      <w:bookmarkStart w:id="0" w:name="_Toc75367575"/>
      <w:bookmarkStart w:id="1" w:name="_Toc64966194"/>
      <w:bookmarkStart w:id="2" w:name="_Toc66112102"/>
      <w:r>
        <w:rPr>
          <w:rFonts w:hint="eastAsia"/>
        </w:rPr>
        <w:t xml:space="preserve">前 </w:t>
      </w:r>
      <w:r>
        <w:t xml:space="preserve"> </w:t>
      </w:r>
      <w:r>
        <w:rPr>
          <w:rFonts w:hint="eastAsia"/>
        </w:rPr>
        <w:t>言</w:t>
      </w:r>
      <w:bookmarkEnd w:id="0"/>
      <w:bookmarkEnd w:id="1"/>
      <w:bookmarkEnd w:id="2"/>
    </w:p>
    <w:p>
      <w:pPr>
        <w:ind w:firstLine="640"/>
      </w:pPr>
      <w:r>
        <w:rPr>
          <w:rFonts w:ascii="仿宋" w:hAnsi="仿宋"/>
        </w:rPr>
        <w:t>“</w:t>
      </w:r>
      <w:r>
        <w:rPr>
          <w:rFonts w:hint="eastAsia" w:ascii="仿宋" w:hAnsi="仿宋"/>
        </w:rPr>
        <w:t>十四五</w:t>
      </w:r>
      <w:r>
        <w:rPr>
          <w:rFonts w:ascii="仿宋" w:hAnsi="仿宋"/>
        </w:rPr>
        <w:t>”</w:t>
      </w:r>
      <w:r>
        <w:rPr>
          <w:rFonts w:hint="eastAsia" w:ascii="仿宋" w:hAnsi="仿宋"/>
        </w:rPr>
        <w:t>时期是揭东区</w:t>
      </w:r>
      <w:r>
        <w:rPr>
          <w:rFonts w:hint="eastAsia"/>
        </w:rPr>
        <w:t>贯彻落实省委、市委工作部署，围绕“产业现代化、新型城镇化”，努力把揭东建设成为产城乡融合发展示范区的关键期。加快构建更加富有创新活力、彰显现代化城乡特色服务业发展新格局，促进服务业拓宽领域、增强功能、优化结构，提升揭东区现代服务业发展水平，打造引领国民经济发展新的增长极，是全面构建与社会经济发展水平相适应的现代服务业体系的必由之路，是在全面建设社会主义现代化国家新征程中开创新局面、创造新辉煌的重要举措。</w:t>
      </w:r>
    </w:p>
    <w:p>
      <w:pPr>
        <w:ind w:firstLine="640"/>
      </w:pPr>
      <w:r>
        <w:rPr>
          <w:rFonts w:hint="eastAsia"/>
        </w:rPr>
        <w:t>为推进“十四五”时期揭东区现代服务业更好更快发展，根据《揭东区国民经济和社会发展第十四个五年规划和二〇三五年远景目标纲要》，结合实际，编制本规划。</w:t>
      </w:r>
    </w:p>
    <w:p>
      <w:pPr>
        <w:pStyle w:val="2"/>
        <w:spacing w:before="156" w:after="156"/>
      </w:pPr>
      <w:bookmarkStart w:id="3" w:name="_Toc66112103"/>
      <w:bookmarkStart w:id="4" w:name="_Toc64966195"/>
      <w:bookmarkStart w:id="5" w:name="_Toc75367576"/>
      <w:r>
        <w:rPr>
          <w:rFonts w:hint="eastAsia"/>
        </w:rPr>
        <w:t>第一章 发展基础</w:t>
      </w:r>
      <w:bookmarkEnd w:id="3"/>
      <w:bookmarkEnd w:id="4"/>
      <w:r>
        <w:rPr>
          <w:rFonts w:hint="eastAsia"/>
        </w:rPr>
        <w:t>与形势</w:t>
      </w:r>
      <w:bookmarkEnd w:id="5"/>
    </w:p>
    <w:p>
      <w:pPr>
        <w:ind w:firstLine="640"/>
      </w:pPr>
      <w:r>
        <w:rPr>
          <w:rFonts w:hint="eastAsia"/>
        </w:rPr>
        <w:t>“十三五”以来，揭东区加快发展现代服务业和新业态，一二三产业同步发展，经济结构持续优化，为全区经济实现高质量发展注入了强劲动力，也为“十四五”时期开好局打下了坚实的基础。</w:t>
      </w:r>
    </w:p>
    <w:p>
      <w:pPr>
        <w:pStyle w:val="3"/>
      </w:pPr>
      <w:bookmarkStart w:id="6" w:name="_Toc66112104"/>
      <w:bookmarkStart w:id="7" w:name="_Toc64966196"/>
      <w:bookmarkStart w:id="8" w:name="_Toc75367577"/>
      <w:r>
        <w:rPr>
          <w:rFonts w:hint="eastAsia"/>
        </w:rPr>
        <w:t xml:space="preserve">第一节 </w:t>
      </w:r>
      <w:bookmarkEnd w:id="6"/>
      <w:bookmarkEnd w:id="7"/>
      <w:r>
        <w:rPr>
          <w:rFonts w:hint="eastAsia"/>
        </w:rPr>
        <w:t>发展基础</w:t>
      </w:r>
      <w:bookmarkEnd w:id="8"/>
    </w:p>
    <w:p>
      <w:pPr>
        <w:pStyle w:val="4"/>
        <w:ind w:firstLine="643"/>
      </w:pPr>
      <w:bookmarkStart w:id="9" w:name="_Toc66112105"/>
      <w:bookmarkStart w:id="10" w:name="_Toc31165"/>
      <w:r>
        <w:rPr>
          <w:rFonts w:hint="eastAsia"/>
        </w:rPr>
        <w:t>一、服务规模持续扩大</w:t>
      </w:r>
      <w:bookmarkEnd w:id="9"/>
      <w:bookmarkEnd w:id="10"/>
    </w:p>
    <w:p>
      <w:pPr>
        <w:ind w:firstLine="640"/>
      </w:pPr>
      <w:r>
        <w:drawing>
          <wp:anchor distT="0" distB="0" distL="114300" distR="114300" simplePos="0" relativeHeight="251659264" behindDoc="0" locked="0" layoutInCell="1" allowOverlap="1">
            <wp:simplePos x="0" y="0"/>
            <wp:positionH relativeFrom="margin">
              <wp:posOffset>-242570</wp:posOffset>
            </wp:positionH>
            <wp:positionV relativeFrom="paragraph">
              <wp:posOffset>2135505</wp:posOffset>
            </wp:positionV>
            <wp:extent cx="5759450" cy="2101215"/>
            <wp:effectExtent l="0" t="0" r="1270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rPr>
        <w:t>“十三五”期间，</w:t>
      </w:r>
      <w:r>
        <w:t>全区服务业</w:t>
      </w:r>
      <w:r>
        <w:rPr>
          <w:rFonts w:hint="eastAsia"/>
        </w:rPr>
        <w:t>增加值增长近2倍，从2</w:t>
      </w:r>
      <w:r>
        <w:t>016</w:t>
      </w:r>
      <w:r>
        <w:rPr>
          <w:rFonts w:hint="eastAsia"/>
        </w:rPr>
        <w:t>年的7</w:t>
      </w:r>
      <w:r>
        <w:t>8.2</w:t>
      </w:r>
      <w:r>
        <w:rPr>
          <w:rFonts w:hint="eastAsia"/>
        </w:rPr>
        <w:t>亿元分别增加至2</w:t>
      </w:r>
      <w:r>
        <w:t>019</w:t>
      </w:r>
      <w:r>
        <w:rPr>
          <w:rFonts w:hint="eastAsia"/>
        </w:rPr>
        <w:t>年的1</w:t>
      </w:r>
      <w:r>
        <w:t>54.1</w:t>
      </w:r>
      <w:r>
        <w:rPr>
          <w:rFonts w:hint="eastAsia"/>
        </w:rPr>
        <w:t>亿元、2</w:t>
      </w:r>
      <w:r>
        <w:t>020</w:t>
      </w:r>
      <w:r>
        <w:rPr>
          <w:rFonts w:hint="eastAsia"/>
        </w:rPr>
        <w:t>年的2</w:t>
      </w:r>
      <w:r>
        <w:t>10.3</w:t>
      </w:r>
      <w:r>
        <w:rPr>
          <w:rFonts w:hint="eastAsia"/>
        </w:rPr>
        <w:t>亿元</w:t>
      </w:r>
      <w:r>
        <w:rPr>
          <w:rStyle w:val="28"/>
          <w:sz w:val="28"/>
          <w:szCs w:val="18"/>
        </w:rPr>
        <w:footnoteReference w:id="0"/>
      </w:r>
      <w:r>
        <w:rPr>
          <w:rFonts w:hint="eastAsia"/>
        </w:rPr>
        <w:t>，位居全市服务业生产总值第二位，实现跨越式发展。</w:t>
      </w:r>
      <w:r>
        <w:rPr>
          <w:rFonts w:hint="eastAsia"/>
          <w:lang w:eastAsia="zh-CN"/>
        </w:rPr>
        <w:t>“</w:t>
      </w:r>
      <w:r>
        <w:rPr>
          <w:rFonts w:hint="eastAsia"/>
        </w:rPr>
        <w:t>十三五</w:t>
      </w:r>
      <w:r>
        <w:rPr>
          <w:rFonts w:hint="eastAsia"/>
          <w:lang w:eastAsia="zh-CN"/>
        </w:rPr>
        <w:t>”</w:t>
      </w:r>
      <w:r>
        <w:rPr>
          <w:rFonts w:hint="eastAsia"/>
        </w:rPr>
        <w:t>末，全区三产比例达到9.7：42：48.3，服务业已然与制造业并驾齐驱，</w:t>
      </w:r>
      <w:r>
        <w:t>成为</w:t>
      </w:r>
      <w:r>
        <w:rPr>
          <w:rFonts w:hint="eastAsia"/>
        </w:rPr>
        <w:t>揭东</w:t>
      </w:r>
      <w:r>
        <w:t>经济发展</w:t>
      </w:r>
      <w:r>
        <w:rPr>
          <w:rFonts w:hint="eastAsia"/>
        </w:rPr>
        <w:t>的关键</w:t>
      </w:r>
      <w:r>
        <w:t>产业</w:t>
      </w:r>
      <w:r>
        <w:rPr>
          <w:rFonts w:hint="eastAsia"/>
        </w:rPr>
        <w:t>和主要引擎</w:t>
      </w:r>
      <w:r>
        <w:t>。</w:t>
      </w:r>
    </w:p>
    <w:p>
      <w:pPr>
        <w:ind w:firstLine="562"/>
        <w:rPr>
          <w:b/>
          <w:bCs/>
          <w:sz w:val="28"/>
          <w:szCs w:val="21"/>
        </w:rPr>
      </w:pPr>
      <w:r>
        <w:rPr>
          <w:rFonts w:hint="eastAsia"/>
          <w:b/>
          <w:bCs/>
          <w:sz w:val="28"/>
          <w:szCs w:val="21"/>
        </w:rPr>
        <w:t>图</w:t>
      </w:r>
      <w:r>
        <w:rPr>
          <w:b/>
          <w:bCs/>
          <w:sz w:val="28"/>
          <w:szCs w:val="21"/>
        </w:rPr>
        <w:t>1  2020</w:t>
      </w:r>
      <w:r>
        <w:rPr>
          <w:rFonts w:hint="eastAsia"/>
          <w:b/>
          <w:bCs/>
          <w:sz w:val="28"/>
          <w:szCs w:val="21"/>
        </w:rPr>
        <w:t>年</w:t>
      </w:r>
      <w:r>
        <w:rPr>
          <w:b/>
          <w:bCs/>
          <w:sz w:val="28"/>
          <w:szCs w:val="21"/>
        </w:rPr>
        <w:t>揭阳市及区县第三产业产值及占比</w:t>
      </w:r>
      <w:r>
        <w:rPr>
          <w:rFonts w:hint="eastAsia"/>
          <w:b/>
          <w:bCs/>
          <w:sz w:val="28"/>
          <w:szCs w:val="21"/>
        </w:rPr>
        <w:t>的比较</w:t>
      </w:r>
      <w:r>
        <w:rPr>
          <w:b/>
          <w:bCs/>
          <w:sz w:val="28"/>
          <w:szCs w:val="21"/>
        </w:rPr>
        <w:t>图</w:t>
      </w:r>
    </w:p>
    <w:p>
      <w:pPr>
        <w:pStyle w:val="4"/>
        <w:ind w:firstLine="643"/>
      </w:pPr>
      <w:bookmarkStart w:id="11" w:name="_Toc66112106"/>
      <w:bookmarkStart w:id="12" w:name="_Toc23680"/>
      <w:bookmarkStart w:id="13" w:name="_Toc36709023"/>
      <w:r>
        <w:rPr>
          <w:rFonts w:hint="eastAsia"/>
        </w:rPr>
        <w:t>二、内部结构持续优化</w:t>
      </w:r>
    </w:p>
    <w:p>
      <w:pPr>
        <w:ind w:firstLine="640"/>
        <w:rPr>
          <w:szCs w:val="22"/>
        </w:rPr>
      </w:pPr>
      <w:r>
        <w:rPr>
          <w:rFonts w:hint="eastAsia"/>
        </w:rPr>
        <w:t>“十三五”期间</w:t>
      </w:r>
      <w:r>
        <w:rPr>
          <w:rFonts w:hint="eastAsia"/>
          <w:szCs w:val="22"/>
        </w:rPr>
        <w:t>，全区服务业增加值比重持续攀升，2020年，全区第三产业增加值占地区生产总值比重达48.3%。其中，交通运输、仓储和邮政业增加值从2</w:t>
      </w:r>
      <w:r>
        <w:rPr>
          <w:szCs w:val="22"/>
        </w:rPr>
        <w:t>016</w:t>
      </w:r>
      <w:r>
        <w:rPr>
          <w:rFonts w:hint="eastAsia"/>
          <w:szCs w:val="22"/>
        </w:rPr>
        <w:t>年2</w:t>
      </w:r>
      <w:r>
        <w:rPr>
          <w:szCs w:val="22"/>
        </w:rPr>
        <w:t>.17</w:t>
      </w:r>
      <w:r>
        <w:rPr>
          <w:rFonts w:hint="eastAsia"/>
          <w:szCs w:val="22"/>
        </w:rPr>
        <w:t>亿元达到2</w:t>
      </w:r>
      <w:r>
        <w:rPr>
          <w:szCs w:val="22"/>
        </w:rPr>
        <w:t>020</w:t>
      </w:r>
      <w:r>
        <w:rPr>
          <w:rFonts w:hint="eastAsia"/>
          <w:szCs w:val="22"/>
        </w:rPr>
        <w:t>年的8</w:t>
      </w:r>
      <w:r>
        <w:rPr>
          <w:szCs w:val="22"/>
        </w:rPr>
        <w:t>.77</w:t>
      </w:r>
      <w:r>
        <w:rPr>
          <w:rFonts w:hint="eastAsia"/>
          <w:szCs w:val="22"/>
        </w:rPr>
        <w:t>亿元，取得了增加值翻两番的优异成绩。旅游业</w:t>
      </w:r>
      <w:r>
        <w:rPr>
          <w:rFonts w:hint="eastAsia" w:ascii="仿宋" w:hAnsi="仿宋" w:cs="仿宋"/>
          <w:szCs w:val="30"/>
        </w:rPr>
        <w:t>累计接待游客2135.75万人次，实现旅游总收入101.84亿元。</w:t>
      </w:r>
      <w:r>
        <w:rPr>
          <w:rFonts w:hint="eastAsia"/>
          <w:szCs w:val="22"/>
        </w:rPr>
        <w:t>服务业新技术、新模式、新业态不断涌现，电子商务、生态旅游、科技服务、健康服务、融资租赁、互联网金融等新兴服务业态发展态势良好。2</w:t>
      </w:r>
      <w:r>
        <w:rPr>
          <w:szCs w:val="22"/>
        </w:rPr>
        <w:t>020</w:t>
      </w:r>
      <w:r>
        <w:rPr>
          <w:rFonts w:hint="eastAsia"/>
          <w:szCs w:val="22"/>
        </w:rPr>
        <w:t>年，全区实现社会消费品零售总额182.22亿元，排名全市第一名，新增限上商业企业8家；每万人发明专利拥有量达1.83件，2018年荣获省科普示范区。</w:t>
      </w:r>
    </w:p>
    <w:p>
      <w:pPr>
        <w:ind w:firstLine="0" w:firstLineChars="0"/>
        <w:jc w:val="center"/>
        <w:rPr>
          <w:rFonts w:ascii="黑体" w:hAnsi="黑体" w:eastAsia="黑体"/>
          <w:b/>
          <w:bCs/>
          <w:sz w:val="28"/>
          <w:szCs w:val="21"/>
        </w:rPr>
      </w:pPr>
      <w:r>
        <w:rPr>
          <w:rFonts w:hint="eastAsia" w:ascii="黑体" w:hAnsi="黑体" w:eastAsia="黑体"/>
          <w:b/>
          <w:bCs/>
          <w:sz w:val="28"/>
          <w:szCs w:val="21"/>
        </w:rPr>
        <w:t>表1</w:t>
      </w:r>
      <w:r>
        <w:rPr>
          <w:rFonts w:ascii="黑体" w:hAnsi="黑体" w:eastAsia="黑体"/>
          <w:b/>
          <w:bCs/>
          <w:sz w:val="28"/>
          <w:szCs w:val="21"/>
        </w:rPr>
        <w:t xml:space="preserve"> 2020</w:t>
      </w:r>
      <w:r>
        <w:rPr>
          <w:rFonts w:hint="eastAsia" w:ascii="黑体" w:hAnsi="黑体" w:eastAsia="黑体"/>
          <w:b/>
          <w:bCs/>
          <w:sz w:val="28"/>
          <w:szCs w:val="21"/>
        </w:rPr>
        <w:t>年揭东区服务业八大类主要指标</w:t>
      </w:r>
    </w:p>
    <w:tbl>
      <w:tblPr>
        <w:tblStyle w:val="29"/>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0"/>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楷体"/>
                <w:b/>
                <w:bCs/>
                <w:kern w:val="0"/>
                <w:sz w:val="28"/>
                <w:szCs w:val="28"/>
              </w:rPr>
            </w:pPr>
            <w:r>
              <w:rPr>
                <w:rFonts w:eastAsia="楷体"/>
                <w:b/>
                <w:bCs/>
                <w:kern w:val="0"/>
                <w:sz w:val="28"/>
                <w:szCs w:val="28"/>
              </w:rPr>
              <w:t>服务业</w:t>
            </w:r>
            <w:r>
              <w:rPr>
                <w:rFonts w:hint="eastAsia" w:eastAsia="楷体"/>
                <w:b/>
                <w:bCs/>
                <w:kern w:val="0"/>
                <w:sz w:val="28"/>
                <w:szCs w:val="28"/>
              </w:rPr>
              <w:t>八大类</w:t>
            </w:r>
            <w:r>
              <w:rPr>
                <w:rFonts w:eastAsia="楷体"/>
                <w:b/>
                <w:bCs/>
                <w:kern w:val="0"/>
                <w:sz w:val="28"/>
                <w:szCs w:val="28"/>
              </w:rPr>
              <w:t>行业</w:t>
            </w:r>
          </w:p>
        </w:tc>
        <w:tc>
          <w:tcPr>
            <w:tcW w:w="2268" w:type="dxa"/>
            <w:shd w:val="clear" w:color="auto" w:fill="auto"/>
            <w:vAlign w:val="bottom"/>
          </w:tcPr>
          <w:p>
            <w:pPr>
              <w:widowControl/>
              <w:adjustRightInd/>
              <w:snapToGrid/>
              <w:spacing w:line="360" w:lineRule="exact"/>
              <w:ind w:firstLine="0" w:firstLineChars="0"/>
              <w:jc w:val="center"/>
              <w:rPr>
                <w:rFonts w:eastAsia="楷体"/>
                <w:b/>
                <w:bCs/>
                <w:kern w:val="0"/>
                <w:sz w:val="28"/>
                <w:szCs w:val="28"/>
              </w:rPr>
            </w:pPr>
            <w:r>
              <w:rPr>
                <w:rFonts w:eastAsia="楷体"/>
                <w:b/>
                <w:bCs/>
                <w:kern w:val="0"/>
                <w:sz w:val="28"/>
                <w:szCs w:val="28"/>
              </w:rPr>
              <w:t>增加值（亿元）</w:t>
            </w:r>
          </w:p>
        </w:tc>
        <w:tc>
          <w:tcPr>
            <w:tcW w:w="1843" w:type="dxa"/>
            <w:shd w:val="clear" w:color="auto" w:fill="auto"/>
            <w:vAlign w:val="bottom"/>
          </w:tcPr>
          <w:p>
            <w:pPr>
              <w:widowControl/>
              <w:adjustRightInd/>
              <w:snapToGrid/>
              <w:spacing w:line="360" w:lineRule="exact"/>
              <w:ind w:firstLine="0" w:firstLineChars="0"/>
              <w:jc w:val="center"/>
              <w:rPr>
                <w:rFonts w:eastAsia="楷体"/>
                <w:b/>
                <w:bCs/>
                <w:kern w:val="0"/>
                <w:sz w:val="28"/>
                <w:szCs w:val="28"/>
              </w:rPr>
            </w:pPr>
            <w:r>
              <w:rPr>
                <w:rFonts w:eastAsia="楷体"/>
                <w:b/>
                <w:bCs/>
                <w:kern w:val="0"/>
                <w:sz w:val="28"/>
                <w:szCs w:val="28"/>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批发和零售业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76.72</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交通运输、仓储和邮政业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8.77</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住宿和餐饮业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5.04</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信息传输、软件技术和信息技术服务业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5.64</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金融业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10.3</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房地产业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40.4</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其他盈利服务业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17</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40" w:type="dxa"/>
            <w:shd w:val="clear" w:color="auto" w:fill="auto"/>
            <w:vAlign w:val="bottom"/>
          </w:tcPr>
          <w:p>
            <w:pPr>
              <w:widowControl/>
              <w:adjustRightInd/>
              <w:snapToGrid/>
              <w:spacing w:line="360" w:lineRule="exact"/>
              <w:ind w:firstLine="0" w:firstLineChars="0"/>
              <w:jc w:val="center"/>
              <w:rPr>
                <w:rFonts w:ascii="宋体" w:hAnsi="宋体" w:eastAsia="宋体" w:cs="宋体"/>
                <w:kern w:val="0"/>
                <w:sz w:val="28"/>
                <w:szCs w:val="28"/>
              </w:rPr>
            </w:pPr>
            <w:r>
              <w:rPr>
                <w:rFonts w:hint="eastAsia" w:ascii="宋体" w:hAnsi="宋体" w:eastAsia="宋体" w:cs="宋体"/>
                <w:kern w:val="0"/>
                <w:sz w:val="28"/>
                <w:szCs w:val="28"/>
              </w:rPr>
              <w:t>非营利性服务业</w:t>
            </w:r>
          </w:p>
        </w:tc>
        <w:tc>
          <w:tcPr>
            <w:tcW w:w="2268"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hint="eastAsia" w:eastAsia="宋体"/>
                <w:kern w:val="0"/>
                <w:sz w:val="28"/>
                <w:szCs w:val="28"/>
              </w:rPr>
              <w:t>50.5</w:t>
            </w:r>
          </w:p>
        </w:tc>
        <w:tc>
          <w:tcPr>
            <w:tcW w:w="1843" w:type="dxa"/>
            <w:shd w:val="clear" w:color="auto" w:fill="auto"/>
            <w:vAlign w:val="bottom"/>
          </w:tcPr>
          <w:p>
            <w:pPr>
              <w:widowControl/>
              <w:adjustRightInd/>
              <w:snapToGrid/>
              <w:spacing w:line="360" w:lineRule="exact"/>
              <w:ind w:firstLine="0" w:firstLineChars="0"/>
              <w:jc w:val="center"/>
              <w:rPr>
                <w:rFonts w:eastAsia="宋体"/>
                <w:kern w:val="0"/>
                <w:sz w:val="28"/>
                <w:szCs w:val="28"/>
              </w:rPr>
            </w:pPr>
            <w:r>
              <w:rPr>
                <w:rFonts w:hint="eastAsia" w:eastAsia="宋体"/>
                <w:kern w:val="0"/>
                <w:sz w:val="28"/>
                <w:szCs w:val="28"/>
              </w:rPr>
              <w:t>5.1</w:t>
            </w:r>
          </w:p>
        </w:tc>
      </w:tr>
    </w:tbl>
    <w:p>
      <w:pPr>
        <w:pStyle w:val="4"/>
        <w:ind w:firstLine="643"/>
      </w:pPr>
      <w:r>
        <w:rPr>
          <w:rFonts w:hint="eastAsia"/>
        </w:rPr>
        <w:t>三、主体能级稳步提升</w:t>
      </w:r>
    </w:p>
    <w:p>
      <w:pPr>
        <w:ind w:firstLine="640"/>
        <w:rPr>
          <w:szCs w:val="22"/>
        </w:rPr>
      </w:pPr>
      <w:r>
        <w:rPr>
          <w:rFonts w:hint="eastAsia"/>
          <w:szCs w:val="22"/>
        </w:rPr>
        <w:t>“十三五”期间，新增限额以上商业企业</w:t>
      </w:r>
      <w:r>
        <w:rPr>
          <w:szCs w:val="22"/>
        </w:rPr>
        <w:t>155</w:t>
      </w:r>
      <w:r>
        <w:rPr>
          <w:rFonts w:hint="eastAsia"/>
          <w:szCs w:val="22"/>
        </w:rPr>
        <w:t>家。截止</w:t>
      </w:r>
      <w:r>
        <w:rPr>
          <w:szCs w:val="22"/>
        </w:rPr>
        <w:t>2020</w:t>
      </w:r>
      <w:r>
        <w:rPr>
          <w:rFonts w:hint="eastAsia"/>
          <w:szCs w:val="22"/>
        </w:rPr>
        <w:t>年底，登记注册电商企业1</w:t>
      </w:r>
      <w:r>
        <w:rPr>
          <w:szCs w:val="22"/>
        </w:rPr>
        <w:t>610</w:t>
      </w:r>
      <w:r>
        <w:rPr>
          <w:rFonts w:hint="eastAsia"/>
          <w:szCs w:val="22"/>
        </w:rPr>
        <w:t>家，快递业务量1.21亿件，快递业务收入7.94亿元，电商物流服务规模日益壮大。旅游市场活跃，“红色休闲生态”揭东一日乡村旅游线路入选省乡村旅游精品线路，玉湖镇新寮村入选首批省文化和旅游特色村。</w:t>
      </w:r>
    </w:p>
    <w:p>
      <w:pPr>
        <w:pStyle w:val="4"/>
        <w:ind w:firstLine="643"/>
      </w:pPr>
      <w:r>
        <w:rPr>
          <w:rFonts w:hint="eastAsia"/>
        </w:rPr>
        <w:t>四、产业聚集效应显著</w:t>
      </w:r>
    </w:p>
    <w:p>
      <w:pPr>
        <w:ind w:firstLine="640"/>
        <w:rPr>
          <w:szCs w:val="22"/>
        </w:rPr>
      </w:pPr>
      <w:r>
        <w:rPr>
          <w:rFonts w:hint="eastAsia"/>
          <w:szCs w:val="22"/>
        </w:rPr>
        <w:t>打造大军埔电商圈，军埔电商村获中国“最美淘宝村”称号，锡场镇成为全省10个“互联网+电商”小镇之一，揭东区荣获广东县域电商创新奖。韵达、中通、圆通、易商、丰树等项目相继落户，一批总部物流基地落地建设，现代物流业重点企业加快集聚，服务配套制造业链条日益完善。天虹购物中心、“美斯·朝启”文教创客综合体建成运营，人气商气不断汇聚。</w:t>
      </w:r>
    </w:p>
    <w:p>
      <w:pPr>
        <w:pStyle w:val="4"/>
        <w:ind w:firstLine="643"/>
      </w:pPr>
      <w:r>
        <w:rPr>
          <w:rFonts w:hint="eastAsia"/>
        </w:rPr>
        <w:t>五、改革开放取得突破</w:t>
      </w:r>
    </w:p>
    <w:p>
      <w:pPr>
        <w:ind w:firstLine="640"/>
        <w:rPr>
          <w:szCs w:val="22"/>
        </w:rPr>
      </w:pPr>
      <w:r>
        <w:rPr>
          <w:rFonts w:hint="eastAsia"/>
          <w:szCs w:val="22"/>
        </w:rPr>
        <w:t>商事制度改革进一步深化，编制完成《揭东区政府部门权责清单》，保留各类权责事项5258项，实现企业设立登记0.5日办结，全区各类市场主体达到53053户。实施企业投资项目分类管理和落地便利化改革，实现民用建筑项目开工前政府审批时间不超过41个工作日，工业项目不超过45个工作日。“数字政府”建设加快，“一门式、一网式”政务服务改革深化，三级政务服务平台集约化改造提升完成，建成24小时自助服务区。开放合作不断深化，抓住“一带一路”机遇，主动对接粤港澳大湾区、深圳先行示范区、“一核一带一区”区域发展格局等国家、省发展战略，搭建对外开放交流平台。大力开拓国际市场，鼓励企业“走出去”，参加欧洲、北美等地区展销会，巩固欧洲、北美市场，拓展东盟、南美和非洲等新兴市场。</w:t>
      </w:r>
    </w:p>
    <w:p>
      <w:pPr>
        <w:pStyle w:val="4"/>
        <w:ind w:firstLine="643"/>
      </w:pPr>
      <w:r>
        <w:rPr>
          <w:rFonts w:hint="eastAsia"/>
        </w:rPr>
        <w:t>六、发展贡献稳步上升</w:t>
      </w:r>
    </w:p>
    <w:p>
      <w:pPr>
        <w:ind w:firstLine="640"/>
        <w:rPr>
          <w:szCs w:val="22"/>
        </w:rPr>
      </w:pPr>
      <w:r>
        <w:rPr>
          <w:rFonts w:hint="eastAsia"/>
          <w:szCs w:val="22"/>
        </w:rPr>
        <w:t>从财税贡献看，2020年我区服务业实现地税收入</w:t>
      </w:r>
      <w:r>
        <w:rPr>
          <w:szCs w:val="22"/>
        </w:rPr>
        <w:t>8.65</w:t>
      </w:r>
      <w:r>
        <w:rPr>
          <w:rFonts w:hint="eastAsia"/>
          <w:szCs w:val="22"/>
        </w:rPr>
        <w:t>亿元（全口径），占全区地税总额（1</w:t>
      </w:r>
      <w:r>
        <w:rPr>
          <w:szCs w:val="22"/>
        </w:rPr>
        <w:t>6.66</w:t>
      </w:r>
      <w:r>
        <w:rPr>
          <w:rFonts w:hint="eastAsia"/>
          <w:szCs w:val="22"/>
        </w:rPr>
        <w:t>亿元）的比重达到</w:t>
      </w:r>
      <w:r>
        <w:rPr>
          <w:szCs w:val="22"/>
        </w:rPr>
        <w:t>51.9</w:t>
      </w:r>
      <w:r>
        <w:rPr>
          <w:rFonts w:hint="eastAsia"/>
          <w:szCs w:val="22"/>
        </w:rPr>
        <w:t>%，区级库税收收入额（2</w:t>
      </w:r>
      <w:r>
        <w:rPr>
          <w:szCs w:val="22"/>
        </w:rPr>
        <w:t>.57</w:t>
      </w:r>
      <w:r>
        <w:rPr>
          <w:rFonts w:hint="eastAsia"/>
          <w:szCs w:val="22"/>
        </w:rPr>
        <w:t>亿元）占揭东区级库税收收入（4</w:t>
      </w:r>
      <w:r>
        <w:rPr>
          <w:szCs w:val="22"/>
        </w:rPr>
        <w:t>.61</w:t>
      </w:r>
      <w:r>
        <w:rPr>
          <w:rFonts w:hint="eastAsia"/>
          <w:szCs w:val="22"/>
        </w:rPr>
        <w:t>亿元）的5</w:t>
      </w:r>
      <w:r>
        <w:rPr>
          <w:szCs w:val="22"/>
        </w:rPr>
        <w:t>5.7</w:t>
      </w:r>
      <w:r>
        <w:rPr>
          <w:rFonts w:hint="eastAsia"/>
          <w:szCs w:val="22"/>
        </w:rPr>
        <w:t>%。从就业效应看，2020年全区服务业从业人员达1</w:t>
      </w:r>
      <w:r>
        <w:rPr>
          <w:szCs w:val="22"/>
        </w:rPr>
        <w:t>2.27</w:t>
      </w:r>
      <w:r>
        <w:rPr>
          <w:rFonts w:hint="eastAsia"/>
          <w:szCs w:val="22"/>
        </w:rPr>
        <w:t>万人，占全社会从业人员总数比重达</w:t>
      </w:r>
      <w:r>
        <w:rPr>
          <w:szCs w:val="22"/>
        </w:rPr>
        <w:t>38.32</w:t>
      </w:r>
      <w:r>
        <w:rPr>
          <w:rFonts w:hint="eastAsia"/>
          <w:szCs w:val="22"/>
        </w:rPr>
        <w:t>%，其中以军埔村电商为例，该村电商从业人员超4</w:t>
      </w:r>
      <w:r>
        <w:rPr>
          <w:szCs w:val="22"/>
        </w:rPr>
        <w:t>000</w:t>
      </w:r>
      <w:r>
        <w:rPr>
          <w:rFonts w:hint="eastAsia"/>
          <w:szCs w:val="22"/>
        </w:rPr>
        <w:t>人，带动周边就业超过1</w:t>
      </w:r>
      <w:r>
        <w:rPr>
          <w:szCs w:val="22"/>
        </w:rPr>
        <w:t>5</w:t>
      </w:r>
      <w:r>
        <w:rPr>
          <w:rFonts w:hint="eastAsia"/>
          <w:szCs w:val="22"/>
        </w:rPr>
        <w:t>万人，服务业进一步成为新增就业的主渠道。随着服务业比较优势上升及经济社会效益不断增大，社会投资进一步向服务业倾斜，2020年，服务业固定资产投资（1</w:t>
      </w:r>
      <w:r>
        <w:rPr>
          <w:szCs w:val="22"/>
        </w:rPr>
        <w:t>22.41</w:t>
      </w:r>
      <w:r>
        <w:rPr>
          <w:rFonts w:hint="eastAsia"/>
          <w:szCs w:val="22"/>
        </w:rPr>
        <w:t>亿元）占全社会固定资产投资（1</w:t>
      </w:r>
      <w:r>
        <w:rPr>
          <w:szCs w:val="22"/>
        </w:rPr>
        <w:t>90.18</w:t>
      </w:r>
      <w:r>
        <w:rPr>
          <w:rFonts w:hint="eastAsia"/>
          <w:szCs w:val="22"/>
        </w:rPr>
        <w:t>亿元）比重达到</w:t>
      </w:r>
      <w:r>
        <w:rPr>
          <w:szCs w:val="22"/>
        </w:rPr>
        <w:t>64.37</w:t>
      </w:r>
      <w:r>
        <w:rPr>
          <w:rFonts w:hint="eastAsia"/>
          <w:szCs w:val="22"/>
        </w:rPr>
        <w:t>%。</w:t>
      </w:r>
    </w:p>
    <w:p>
      <w:pPr>
        <w:ind w:firstLine="0" w:firstLineChars="0"/>
        <w:jc w:val="center"/>
        <w:rPr>
          <w:rFonts w:eastAsia="黑体"/>
          <w:b/>
          <w:bCs/>
          <w:sz w:val="28"/>
          <w:szCs w:val="21"/>
        </w:rPr>
      </w:pPr>
      <w:r>
        <w:rPr>
          <w:rFonts w:eastAsia="黑体"/>
          <w:b/>
          <w:bCs/>
          <w:sz w:val="28"/>
          <w:szCs w:val="21"/>
        </w:rPr>
        <w:t>表2 2020年揭东区纳税情况表</w:t>
      </w:r>
    </w:p>
    <w:tbl>
      <w:tblPr>
        <w:tblStyle w:val="29"/>
        <w:tblW w:w="10385" w:type="dxa"/>
        <w:jc w:val="center"/>
        <w:tblInd w:w="0" w:type="dxa"/>
        <w:tblLayout w:type="fixed"/>
        <w:tblCellMar>
          <w:top w:w="0" w:type="dxa"/>
          <w:left w:w="108" w:type="dxa"/>
          <w:bottom w:w="0" w:type="dxa"/>
          <w:right w:w="108" w:type="dxa"/>
        </w:tblCellMar>
      </w:tblPr>
      <w:tblGrid>
        <w:gridCol w:w="2500"/>
        <w:gridCol w:w="1080"/>
        <w:gridCol w:w="1361"/>
        <w:gridCol w:w="1361"/>
        <w:gridCol w:w="1361"/>
        <w:gridCol w:w="1361"/>
        <w:gridCol w:w="1361"/>
      </w:tblGrid>
      <w:tr>
        <w:tblPrEx>
          <w:tblLayout w:type="fixed"/>
          <w:tblCellMar>
            <w:top w:w="0" w:type="dxa"/>
            <w:left w:w="108" w:type="dxa"/>
            <w:bottom w:w="0" w:type="dxa"/>
            <w:right w:w="108" w:type="dxa"/>
          </w:tblCellMar>
        </w:tblPrEx>
        <w:trPr>
          <w:trHeight w:val="454" w:hRule="atLeast"/>
          <w:jc w:val="center"/>
        </w:trPr>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全区</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第一产业</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第二产业</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二产其中：工业</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第三产业</w:t>
            </w:r>
          </w:p>
        </w:tc>
        <w:tc>
          <w:tcPr>
            <w:tcW w:w="136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楷体" w:hAnsi="楷体" w:eastAsia="楷体" w:cs="宋体"/>
                <w:b/>
                <w:bCs/>
                <w:kern w:val="0"/>
                <w:sz w:val="28"/>
                <w:szCs w:val="28"/>
              </w:rPr>
            </w:pPr>
            <w:r>
              <w:rPr>
                <w:rFonts w:hint="eastAsia" w:ascii="楷体" w:hAnsi="楷体" w:eastAsia="楷体" w:cs="宋体"/>
                <w:b/>
                <w:bCs/>
                <w:kern w:val="0"/>
                <w:sz w:val="28"/>
                <w:szCs w:val="28"/>
              </w:rPr>
              <w:t>三产其中：商业</w:t>
            </w:r>
          </w:p>
        </w:tc>
      </w:tr>
      <w:tr>
        <w:tblPrEx>
          <w:tblLayout w:type="fixed"/>
          <w:tblCellMar>
            <w:top w:w="0" w:type="dxa"/>
            <w:left w:w="108" w:type="dxa"/>
            <w:bottom w:w="0" w:type="dxa"/>
            <w:right w:w="108" w:type="dxa"/>
          </w:tblCellMar>
        </w:tblPrEx>
        <w:trPr>
          <w:trHeight w:val="454" w:hRule="atLeast"/>
          <w:jc w:val="center"/>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仿宋" w:hAnsi="仿宋" w:cs="宋体"/>
                <w:kern w:val="0"/>
                <w:sz w:val="28"/>
                <w:szCs w:val="28"/>
              </w:rPr>
            </w:pPr>
            <w:r>
              <w:rPr>
                <w:rFonts w:hint="eastAsia" w:ascii="仿宋" w:hAnsi="仿宋" w:cs="宋体"/>
                <w:kern w:val="0"/>
                <w:sz w:val="28"/>
                <w:szCs w:val="28"/>
              </w:rPr>
              <w:t>税收总收入额</w:t>
            </w:r>
          </w:p>
        </w:tc>
        <w:tc>
          <w:tcPr>
            <w:tcW w:w="1080"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16.66</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0.02</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7.99</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6.37</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8.65</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2.11</w:t>
            </w:r>
          </w:p>
        </w:tc>
      </w:tr>
      <w:tr>
        <w:tblPrEx>
          <w:tblLayout w:type="fixed"/>
          <w:tblCellMar>
            <w:top w:w="0" w:type="dxa"/>
            <w:left w:w="108" w:type="dxa"/>
            <w:bottom w:w="0" w:type="dxa"/>
            <w:right w:w="108" w:type="dxa"/>
          </w:tblCellMar>
        </w:tblPrEx>
        <w:trPr>
          <w:trHeight w:val="454" w:hRule="atLeast"/>
          <w:jc w:val="center"/>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仿宋" w:hAnsi="仿宋" w:cs="宋体"/>
                <w:kern w:val="0"/>
                <w:sz w:val="28"/>
                <w:szCs w:val="28"/>
              </w:rPr>
            </w:pPr>
            <w:r>
              <w:rPr>
                <w:rFonts w:hint="eastAsia" w:ascii="仿宋" w:hAnsi="仿宋" w:cs="宋体"/>
                <w:kern w:val="0"/>
                <w:sz w:val="28"/>
                <w:szCs w:val="28"/>
              </w:rPr>
              <w:t>税收占比</w:t>
            </w:r>
          </w:p>
        </w:tc>
        <w:tc>
          <w:tcPr>
            <w:tcW w:w="1080"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100%</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0.1%</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48.0%</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38.2%</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51.9%</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12.7%</w:t>
            </w:r>
          </w:p>
        </w:tc>
      </w:tr>
      <w:tr>
        <w:tblPrEx>
          <w:tblLayout w:type="fixed"/>
          <w:tblCellMar>
            <w:top w:w="0" w:type="dxa"/>
            <w:left w:w="108" w:type="dxa"/>
            <w:bottom w:w="0" w:type="dxa"/>
            <w:right w:w="108" w:type="dxa"/>
          </w:tblCellMar>
        </w:tblPrEx>
        <w:trPr>
          <w:trHeight w:val="454" w:hRule="atLeast"/>
          <w:jc w:val="center"/>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仿宋" w:hAnsi="仿宋" w:cs="宋体"/>
                <w:kern w:val="0"/>
                <w:sz w:val="28"/>
                <w:szCs w:val="28"/>
              </w:rPr>
            </w:pPr>
            <w:r>
              <w:rPr>
                <w:rFonts w:hint="eastAsia" w:ascii="仿宋" w:hAnsi="仿宋" w:cs="宋体"/>
                <w:kern w:val="0"/>
                <w:sz w:val="28"/>
                <w:szCs w:val="28"/>
              </w:rPr>
              <w:t>区级库税收收入额</w:t>
            </w:r>
          </w:p>
        </w:tc>
        <w:tc>
          <w:tcPr>
            <w:tcW w:w="1080"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4.61</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0</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2.04</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1.7</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2.57</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0.51</w:t>
            </w:r>
          </w:p>
        </w:tc>
      </w:tr>
      <w:tr>
        <w:tblPrEx>
          <w:tblLayout w:type="fixed"/>
          <w:tblCellMar>
            <w:top w:w="0" w:type="dxa"/>
            <w:left w:w="108" w:type="dxa"/>
            <w:bottom w:w="0" w:type="dxa"/>
            <w:right w:w="108" w:type="dxa"/>
          </w:tblCellMar>
        </w:tblPrEx>
        <w:trPr>
          <w:trHeight w:val="454" w:hRule="atLeast"/>
          <w:jc w:val="center"/>
        </w:trPr>
        <w:tc>
          <w:tcPr>
            <w:tcW w:w="2500"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ascii="仿宋" w:hAnsi="仿宋" w:cs="宋体"/>
                <w:kern w:val="0"/>
                <w:sz w:val="28"/>
                <w:szCs w:val="28"/>
              </w:rPr>
            </w:pPr>
            <w:r>
              <w:rPr>
                <w:rFonts w:hint="eastAsia" w:ascii="仿宋" w:hAnsi="仿宋" w:cs="宋体"/>
                <w:kern w:val="0"/>
                <w:sz w:val="28"/>
                <w:szCs w:val="28"/>
              </w:rPr>
              <w:t>税收占比</w:t>
            </w:r>
          </w:p>
        </w:tc>
        <w:tc>
          <w:tcPr>
            <w:tcW w:w="1080"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100%</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0.0%</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44.3%</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36.9%</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55.7%</w:t>
            </w:r>
          </w:p>
        </w:tc>
        <w:tc>
          <w:tcPr>
            <w:tcW w:w="1361" w:type="dxa"/>
            <w:tcBorders>
              <w:top w:val="nil"/>
              <w:left w:val="nil"/>
              <w:bottom w:val="single" w:color="auto" w:sz="4" w:space="0"/>
              <w:right w:val="single" w:color="auto" w:sz="4" w:space="0"/>
            </w:tcBorders>
            <w:shd w:val="clear" w:color="auto" w:fill="auto"/>
            <w:vAlign w:val="center"/>
          </w:tcPr>
          <w:p>
            <w:pPr>
              <w:widowControl/>
              <w:adjustRightInd/>
              <w:snapToGrid/>
              <w:spacing w:line="360" w:lineRule="exact"/>
              <w:ind w:firstLine="0" w:firstLineChars="0"/>
              <w:jc w:val="center"/>
              <w:rPr>
                <w:rFonts w:eastAsia="宋体"/>
                <w:kern w:val="0"/>
                <w:sz w:val="28"/>
                <w:szCs w:val="28"/>
              </w:rPr>
            </w:pPr>
            <w:r>
              <w:rPr>
                <w:rFonts w:eastAsia="宋体"/>
                <w:kern w:val="0"/>
                <w:sz w:val="28"/>
                <w:szCs w:val="28"/>
              </w:rPr>
              <w:t>11.1%</w:t>
            </w:r>
          </w:p>
        </w:tc>
      </w:tr>
      <w:bookmarkEnd w:id="11"/>
      <w:bookmarkEnd w:id="12"/>
      <w:bookmarkEnd w:id="13"/>
    </w:tbl>
    <w:p>
      <w:pPr>
        <w:pStyle w:val="3"/>
      </w:pPr>
      <w:bookmarkStart w:id="14" w:name="_Toc64966198"/>
      <w:bookmarkStart w:id="15" w:name="_Toc66112116"/>
      <w:bookmarkStart w:id="16" w:name="_Toc75367578"/>
      <w:r>
        <w:rPr>
          <w:rFonts w:hint="eastAsia"/>
        </w:rPr>
        <w:t xml:space="preserve">第二节 </w:t>
      </w:r>
      <w:bookmarkEnd w:id="14"/>
      <w:bookmarkEnd w:id="15"/>
      <w:r>
        <w:rPr>
          <w:rFonts w:hint="eastAsia"/>
        </w:rPr>
        <w:t>发展环境</w:t>
      </w:r>
      <w:bookmarkEnd w:id="16"/>
    </w:p>
    <w:p>
      <w:pPr>
        <w:ind w:firstLine="640"/>
      </w:pPr>
      <w:r>
        <w:rPr>
          <w:rFonts w:hint="eastAsia"/>
        </w:rPr>
        <w:t>当前和今后一段时期，世界经济在深度调整中曲折复苏，我国进入了经济中高速增长的新常态。要正确把握国内外经济发展和形势变化，正视挑战，抢抓机遇，主动作为，开创我区服务业发展新时代。</w:t>
      </w:r>
    </w:p>
    <w:p>
      <w:pPr>
        <w:pStyle w:val="4"/>
        <w:ind w:firstLine="643"/>
      </w:pPr>
      <w:r>
        <w:rPr>
          <w:rFonts w:hint="eastAsia"/>
        </w:rPr>
        <w:t>一、新一轮科技革命加速服务变革升级</w:t>
      </w:r>
    </w:p>
    <w:p>
      <w:pPr>
        <w:ind w:firstLine="640"/>
      </w:pPr>
      <w:r>
        <w:rPr>
          <w:rFonts w:hint="eastAsia"/>
        </w:rPr>
        <w:t>世界经济形势错综复杂，揭东服务业处于转型升级的重要关头。世界经济仍然处在深度调整期，发达国家加快“再工业化”步伐。以制造业信息化和服务化为核心特征的现代制造技术和先进制造业快速发展，引发国际产业分工格局深度调整。</w:t>
      </w:r>
      <w:r>
        <w:t>TPP、TTIP深入推进，全球经济增长和贸易、投资格局正在发生重大变革，极大挤压我国国际产业分工链上低端环节的发展空间。揭东外向型经济特征明显，必须顺应制造业和服务业深度融合趋势，积极推进产业转型升级，提升国际综合竞争力。这是新时期我区实现跨越式发展的必然选择，也是国家赋予经济特区新的战略使命。</w:t>
      </w:r>
    </w:p>
    <w:p>
      <w:pPr>
        <w:pStyle w:val="4"/>
        <w:ind w:firstLine="643"/>
      </w:pPr>
      <w:bookmarkStart w:id="17" w:name="_Toc9341"/>
      <w:bookmarkStart w:id="18" w:name="_Toc66112119"/>
      <w:r>
        <w:rPr>
          <w:rFonts w:hint="eastAsia"/>
        </w:rPr>
        <w:t>二、现代服务业政策支持力度持续加大</w:t>
      </w:r>
    </w:p>
    <w:bookmarkEnd w:id="17"/>
    <w:bookmarkEnd w:id="18"/>
    <w:p>
      <w:pPr>
        <w:ind w:firstLine="643"/>
      </w:pPr>
      <w:r>
        <w:rPr>
          <w:rFonts w:hint="eastAsia"/>
          <w:b/>
          <w:bCs/>
        </w:rPr>
        <w:t>国家持续扩大现代服务业对外开放。</w:t>
      </w:r>
      <w:r>
        <w:rPr>
          <w:rFonts w:hint="eastAsia"/>
        </w:rPr>
        <w:t>国内经济高质量发展持续推进，揭东服务业面临前所未有的重大机遇。国内经济增长从高速增长转向中高速增长，发展动力从要素驱动转向创新驱动，经济运行仍处在合理区间，基础条件依然向好，供给侧结构性改革带来资本存量、人力资源等要素供给质量稳步提高，新型工业化、信息化、城镇化和农业现代化同步发展激发巨大发展潜能。高质量发展孕育着结构性变革，推动经济发展动力由传统产业主导向创新产业主导、由工业主导向服务业主导的重大转变。为此，国家密集出台了促进服务业发展的一系列指导意见，努力把服务业打造成为我国经济社会可持续发展的新引擎，这将为我区推进服务业加快发展提供新的战略动力。</w:t>
      </w:r>
    </w:p>
    <w:p>
      <w:pPr>
        <w:ind w:firstLine="643"/>
      </w:pPr>
      <w:bookmarkStart w:id="19" w:name="_Toc66112120"/>
      <w:r>
        <w:rPr>
          <w:rFonts w:hint="eastAsia"/>
          <w:b/>
          <w:bCs/>
        </w:rPr>
        <w:t>揭阳打造现代服务产业体系。</w:t>
      </w:r>
      <w:r>
        <w:rPr>
          <w:rFonts w:hint="eastAsia"/>
        </w:rPr>
        <w:t>国家、广东省实施重大战略布局</w:t>
      </w:r>
      <w:bookmarkEnd w:id="19"/>
      <w:r>
        <w:rPr>
          <w:rFonts w:hint="eastAsia"/>
        </w:rPr>
        <w:t>。揭东服务业获得更加广阔的发展空间。国家实施创新驱动发展战略，推进“一带一路”开发，布局自由贸易试验区建设</w:t>
      </w:r>
      <w:r>
        <w:t>，逐步提升综合竞争实力，在更大范围内实现多边贸易投资自由化，提高我国在国际事务和规则中的话语权。我区深入推进</w:t>
      </w:r>
      <w:r>
        <w:rPr>
          <w:rFonts w:ascii="仿宋" w:hAnsi="仿宋"/>
        </w:rPr>
        <w:t>“粤港澳大湾区”</w:t>
      </w:r>
      <w:r>
        <w:rPr>
          <w:rFonts w:hint="eastAsia"/>
        </w:rPr>
        <w:t>“汕潮揭一体化”“省域副中心城市·汕头”</w:t>
      </w:r>
      <w:r>
        <w:t>建设，形成推动经济可持续发展的重要增长极，将显著提升城市经济发展层级和国际竞争力，为我区服务业开放发展提供新的战略空间。</w:t>
      </w:r>
    </w:p>
    <w:p>
      <w:pPr>
        <w:ind w:firstLine="643"/>
      </w:pPr>
      <w:r>
        <w:rPr>
          <w:rFonts w:hint="eastAsia"/>
          <w:b/>
          <w:bCs/>
        </w:rPr>
        <w:t>揭东“转型升级”带来新机遇。</w:t>
      </w:r>
      <w:r>
        <w:rPr>
          <w:rFonts w:hint="eastAsia"/>
        </w:rPr>
        <w:t>服务业已经成为支撑国民经济增长和吸纳就业的第一大产业，新时代创新驱动发展动力需要服务业快速发展支撑带动制造业提质增效。中央、省、市出台转型升级系列决策部署，对凝聚现代服务业发展战略和路径共识、推动服务业加快发展具有重要意义，为揭东服务业带来全新机遇。特别是，随着是揭东参与“融湾建带”、协同发展“揭普惠城市走廊”、建设成为产城乡融合发展示范区等发展战略深入推进，新的城市定位提出更高要求，现代服务业必将成为揭东未来经济的增长亮点。</w:t>
      </w:r>
    </w:p>
    <w:p>
      <w:pPr>
        <w:pStyle w:val="4"/>
        <w:ind w:firstLine="643"/>
      </w:pPr>
      <w:r>
        <w:rPr>
          <w:rFonts w:hint="eastAsia"/>
        </w:rPr>
        <w:t>三、</w:t>
      </w:r>
      <w:r>
        <w:t>产业发展新趋势</w:t>
      </w:r>
    </w:p>
    <w:p>
      <w:pPr>
        <w:ind w:firstLine="643"/>
      </w:pPr>
      <w:r>
        <w:rPr>
          <w:rFonts w:hint="eastAsia"/>
          <w:b/>
          <w:bCs/>
        </w:rPr>
        <w:t>现代服务业需求仍将保持较快的增长。</w:t>
      </w:r>
      <w:r>
        <w:rPr>
          <w:rFonts w:hint="eastAsia"/>
        </w:rPr>
        <w:t>“十四五”时期，我国继续向高收入国家行列迈进，随着人均收入水平的持续提升，人民群众对高品质教育、医疗、养老、家庭服务、文化娱乐等诸多方面的需求将持续增加，个性化、定制化、体验式、互动式服务将呈现爆发式增长，这将推动生活性服务业品质进一步提升。随着以国内大循环为主体、国内国际双循环相互促进的新发展格局的逐步形成，高品质服务需求外溢的情况将得到缓解，这将进一步释放国内服务业需求。而在生产性服务业方面，实体经济的转型升级、向价值链中高端迈进，要求科技研发、信息服务、现代物流、营销管理、商务咨询等相关的生产性服务业提升品质，提供更多的专业服务支持，这将倒逼这些生产性服务业高质量发展。</w:t>
      </w:r>
    </w:p>
    <w:p>
      <w:pPr>
        <w:ind w:firstLine="643"/>
      </w:pPr>
      <w:r>
        <w:rPr>
          <w:rFonts w:hint="eastAsia"/>
          <w:b/>
          <w:bCs/>
        </w:rPr>
        <w:t>现代服务业改革将持续推进。</w:t>
      </w:r>
      <w:r>
        <w:rPr>
          <w:rFonts w:hint="eastAsia"/>
        </w:rPr>
        <w:t>服务业改革一直在路上，一方面服务业领域的改革相对滞后，在市场准入、要素价格、质量监管、标准制订等方面，仍有较大的改革空间；另一方面，服务业领域的商业模式持续创新，</w:t>
      </w:r>
      <w:r>
        <w:rPr>
          <w:rFonts w:hint="eastAsia" w:ascii="仿宋" w:hAnsi="仿宋"/>
        </w:rPr>
        <w:t>“互联网+健康”“互联网+教育”“互联网+养老”等新</w:t>
      </w:r>
      <w:r>
        <w:rPr>
          <w:rFonts w:hint="eastAsia"/>
        </w:rPr>
        <w:t>型商业模式快速发展，这将带来很多新的监管问题，亟待在监管体系等方面进行改革创新。因此，服务领域需持续</w:t>
      </w:r>
      <w:r>
        <w:rPr>
          <w:rFonts w:hint="eastAsia"/>
          <w:lang w:eastAsia="zh-CN"/>
        </w:rPr>
        <w:t>全面</w:t>
      </w:r>
      <w:bookmarkStart w:id="113" w:name="_GoBack"/>
      <w:bookmarkEnd w:id="113"/>
      <w:r>
        <w:rPr>
          <w:rFonts w:hint="eastAsia"/>
        </w:rPr>
        <w:t>深化改革，进一步推进对与服务业相关的简政放权。对服务业的行业准入政策进行清理，破除行业垄断、进入门槛等各种隐形限制。完善服务业的融资、税收等相关政策体系，使对服务业的支持落到实处。建立适度放松管制、破除体制机制障碍、优化政策保障体系、促进多元共治的服务业现代化治理体系，在负面清单管理、市场准入、要素价格、新业态新模式的柔性监管、政策协调、平台治理、多元参与监管等方面持续推进改革，为服务业快速发展提供制度保障。</w:t>
      </w:r>
    </w:p>
    <w:p>
      <w:pPr>
        <w:ind w:firstLine="643"/>
      </w:pPr>
      <w:r>
        <w:rPr>
          <w:rFonts w:hint="eastAsia"/>
          <w:b/>
          <w:bCs/>
        </w:rPr>
        <w:t>融合发展将是现代服务业发展的重要趋势。</w:t>
      </w:r>
      <w:r>
        <w:rPr>
          <w:rFonts w:hint="eastAsia"/>
        </w:rPr>
        <w:t>服务业与制造业之间界限日趋模糊，两者实现融合发展日渐重要。在发达国家普遍存在两个“70%现象”，即服务业增加值占GDP比重的70%，制造服务业占整个服务业比重的70%。制造业与服务业的互动融合，具体表现为制造服务化与服务制造化。在信息技术的推动下，制造服务化与服务制造化都表现出与互联网高度融合的趋势，成为了工业4.0的重要表现形式。在商业模式上也不断呈现出创新趋势，如大规模个性化定制、C2B、云制造等，都是其表现。服务业与农业的产业融合互动也是一个重要方向。从现代社会经济发展的历程来看，由于分工深化和技术进步，社会生产和销售的组织网络日益复杂，组织协调功能变得日益重要，这使农业的快速发展，需要通过一二三产业融合互动发展来实现。在农业生产过程中，劳动分工、技术进步与产业演化是一个复杂的过程。自20世纪70年代以来，随着信息技术的发展，融合成为了产业发展的一个重要趋势。农业产业链中，正融入越来越多的二三产业元素，而农业日益变为第一二三产业大融合的综合体。农业现代化的核心是通过服务业的发展，使服务业深度切入农业，稳定农产品的质量与数量，解决农产品的供需对接，大幅度提升农业附加值，促进农业产业化水平不断提升，全面解决当前农业发展所存在的一系列问题。</w:t>
      </w:r>
    </w:p>
    <w:p>
      <w:pPr>
        <w:ind w:firstLine="643"/>
      </w:pPr>
      <w:r>
        <w:rPr>
          <w:rFonts w:hint="eastAsia"/>
          <w:b/>
          <w:bCs/>
        </w:rPr>
        <w:t>创新发展是现代服务业发展的主要动力。</w:t>
      </w:r>
      <w:r>
        <w:rPr>
          <w:rFonts w:hint="eastAsia"/>
        </w:rPr>
        <w:t>“十四五”时期，在服务业业态创新，包括</w:t>
      </w:r>
      <w:r>
        <w:rPr>
          <w:rFonts w:hint="eastAsia" w:ascii="仿宋" w:hAnsi="仿宋"/>
        </w:rPr>
        <w:t>“互联网+生活服务”“互联网+社会服务”、共享经济（尤其</w:t>
      </w:r>
      <w:r>
        <w:rPr>
          <w:rFonts w:hint="eastAsia"/>
        </w:rPr>
        <w:t>是制造能力共享、设计能力共享）、“服务业+人工智能”等诸多方面仍有很大的发展空间，创新将成为服务业持续增长的主要动力。</w:t>
      </w:r>
    </w:p>
    <w:p>
      <w:pPr>
        <w:pStyle w:val="3"/>
      </w:pPr>
      <w:bookmarkStart w:id="20" w:name="_Toc66112110"/>
      <w:bookmarkStart w:id="21" w:name="_Toc75367579"/>
      <w:r>
        <w:rPr>
          <w:rFonts w:hint="eastAsia"/>
        </w:rPr>
        <w:t xml:space="preserve">第三节 </w:t>
      </w:r>
      <w:bookmarkEnd w:id="20"/>
      <w:r>
        <w:rPr>
          <w:rFonts w:hint="eastAsia"/>
        </w:rPr>
        <w:t>存在问题</w:t>
      </w:r>
      <w:bookmarkEnd w:id="21"/>
    </w:p>
    <w:p>
      <w:pPr>
        <w:adjustRightInd/>
        <w:snapToGrid/>
        <w:spacing w:line="240" w:lineRule="auto"/>
        <w:ind w:firstLine="640"/>
        <w:rPr>
          <w:szCs w:val="22"/>
        </w:rPr>
      </w:pPr>
      <w:r>
        <w:rPr>
          <w:rFonts w:hint="eastAsia"/>
          <w:szCs w:val="22"/>
        </w:rPr>
        <w:t>“十三五”时期是我区产业转型升级的重要阶段，面对新形势新要求，服务业发展在规模能级、区域协调、支撑体系、对外拓展等方面尚存在诸多问题和不足。</w:t>
      </w:r>
    </w:p>
    <w:p>
      <w:pPr>
        <w:pStyle w:val="4"/>
        <w:ind w:firstLine="643"/>
      </w:pPr>
      <w:bookmarkStart w:id="22" w:name="_Toc14486"/>
      <w:bookmarkStart w:id="23" w:name="_Toc66112111"/>
      <w:r>
        <w:rPr>
          <w:rFonts w:hint="eastAsia"/>
        </w:rPr>
        <w:t>一、</w:t>
      </w:r>
      <w:bookmarkEnd w:id="22"/>
      <w:bookmarkEnd w:id="23"/>
      <w:r>
        <w:rPr>
          <w:rFonts w:hint="eastAsia"/>
        </w:rPr>
        <w:t>高端高品质服务领域发育不足</w:t>
      </w:r>
    </w:p>
    <w:p>
      <w:pPr>
        <w:ind w:firstLine="640"/>
        <w:rPr>
          <w:szCs w:val="22"/>
        </w:rPr>
      </w:pPr>
      <w:r>
        <w:rPr>
          <w:rFonts w:hint="eastAsia"/>
          <w:szCs w:val="22"/>
        </w:rPr>
        <w:t>总体来看，高端生产性服务方面，揭东在研发、设计、检测、咨询、审计、物流、信息等方面仍有较大的发展空间。其中，第三方物流方面，真正能够切入企业供应链提供无缝服务的机构还不多。在信息技术方面，能够为企业量身打造工业互联网以及工业大数据体系的服务企业不多，现有的服务企业系统并没有把企业的潜力完全挖掘出来。在生活服务业方面，居民对高品质旅游、教育、医疗健康等需求非常旺盛，而相关供给有待进一步发展。</w:t>
      </w:r>
    </w:p>
    <w:p>
      <w:pPr>
        <w:pStyle w:val="4"/>
        <w:ind w:firstLine="643"/>
      </w:pPr>
      <w:bookmarkStart w:id="24" w:name="_Toc958"/>
      <w:bookmarkStart w:id="25" w:name="_Toc66112112"/>
      <w:r>
        <w:rPr>
          <w:rFonts w:hint="eastAsia"/>
        </w:rPr>
        <w:t>二、内部区域发展水平差距明显</w:t>
      </w:r>
      <w:bookmarkEnd w:id="24"/>
      <w:bookmarkEnd w:id="25"/>
    </w:p>
    <w:p>
      <w:pPr>
        <w:ind w:firstLine="640"/>
        <w:rPr>
          <w:szCs w:val="22"/>
        </w:rPr>
      </w:pPr>
      <w:r>
        <w:rPr>
          <w:rFonts w:hint="eastAsia"/>
          <w:szCs w:val="22"/>
        </w:rPr>
        <w:t>中心区域服务业发达，已形成具有资源配置功能的服务经济体系，现代物流、电子商务、现代商贸、旅游休闲、金融服务、总部经济、文化创意等现代服务业等先进制造业较为集中，集聚效应开始发力、对外辐射能力逐步增强。但霖磐、白塔等中心镇、东西向产业强化、南北向特色联动的服务业发展层级仍然较低，缺乏支柱性的服务行业和企业主体，对周边地区的服务支撑作用有待提升。</w:t>
      </w:r>
    </w:p>
    <w:p>
      <w:pPr>
        <w:pStyle w:val="4"/>
        <w:ind w:firstLine="643"/>
      </w:pPr>
      <w:bookmarkStart w:id="26" w:name="_Toc27520"/>
      <w:bookmarkStart w:id="27" w:name="_Toc66112113"/>
      <w:r>
        <w:rPr>
          <w:rFonts w:hint="eastAsia"/>
        </w:rPr>
        <w:t>三、服务发展基础环境不优</w:t>
      </w:r>
      <w:bookmarkEnd w:id="26"/>
      <w:bookmarkEnd w:id="27"/>
    </w:p>
    <w:p>
      <w:pPr>
        <w:ind w:firstLine="640"/>
      </w:pPr>
      <w:r>
        <w:rPr>
          <w:rFonts w:hint="eastAsia"/>
        </w:rPr>
        <w:t>尚未建立全区统一的促进服务业发展领导机制，服务业个别领域尚存在部门、行业垄断，行业协会等社会组织的引领指导和监管作用尚未充分体现。知识产权保护、征信体系、标准认证体系、统计监测体系等方面建设相对滞后，服务业专业人才储备相对不足，针对新产业、新业态、新模式、新技术的相关配套措施亟需进一步跟进。</w:t>
      </w:r>
    </w:p>
    <w:p>
      <w:pPr>
        <w:pStyle w:val="4"/>
        <w:ind w:firstLine="643"/>
      </w:pPr>
      <w:bookmarkStart w:id="28" w:name="_Toc503"/>
      <w:bookmarkStart w:id="29" w:name="_Toc66112114"/>
      <w:r>
        <w:rPr>
          <w:rFonts w:hint="eastAsia"/>
        </w:rPr>
        <w:t>四、竞争力和辐射能力不强</w:t>
      </w:r>
      <w:bookmarkEnd w:id="28"/>
      <w:bookmarkEnd w:id="29"/>
    </w:p>
    <w:p>
      <w:pPr>
        <w:ind w:firstLine="640"/>
      </w:pPr>
      <w:r>
        <w:rPr>
          <w:rFonts w:hint="eastAsia"/>
        </w:rPr>
        <w:t>揭东服务贸易水平不高，规模较小，且仍以运输、旅游等传统类型为主，高附加值新兴贸易领域占比不高。具有国际影响力的服务业市场主体仍然较少，国际品牌优势尚未完全确立，面向全球的服务网络尚未形成，与业内的一流跨国企业仍存在一定差距。</w:t>
      </w:r>
    </w:p>
    <w:p>
      <w:pPr>
        <w:pStyle w:val="4"/>
        <w:ind w:firstLine="643"/>
      </w:pPr>
      <w:bookmarkStart w:id="30" w:name="_Toc6411"/>
      <w:bookmarkStart w:id="31" w:name="_Toc66112115"/>
      <w:r>
        <w:rPr>
          <w:rFonts w:hint="eastAsia"/>
        </w:rPr>
        <w:t>五、国际贸易不确定风险加大</w:t>
      </w:r>
      <w:bookmarkEnd w:id="30"/>
      <w:bookmarkEnd w:id="31"/>
    </w:p>
    <w:p>
      <w:pPr>
        <w:ind w:firstLine="640"/>
      </w:pPr>
      <w:r>
        <w:rPr>
          <w:rFonts w:hint="eastAsia"/>
        </w:rPr>
        <w:t>中美贸易摩擦、疫情逆全球化影响进一步发酵，“稳外贸”工作的压力不断增加，对于依赖国际贸易的揭东服装等重点产业带来沉重打击。政府需要认真落实扶持企业发展优惠政策，为符合政策要求的企业申报进口设备贴息扶持资金，支持企业开拓国际市场，鼓励企业积极参加境外展会。充分利用出口信用保险政策性工具的优效作用，为外贸企业出口保驾护航，中小微出口企业统保投保出口信用保险的保费。</w:t>
      </w:r>
    </w:p>
    <w:p>
      <w:pPr>
        <w:pStyle w:val="2"/>
        <w:spacing w:before="156" w:after="156"/>
      </w:pPr>
      <w:bookmarkStart w:id="32" w:name="_Toc64966202"/>
      <w:bookmarkStart w:id="33" w:name="_Toc66112123"/>
      <w:bookmarkStart w:id="34" w:name="_Toc75367580"/>
      <w:r>
        <w:rPr>
          <w:rFonts w:hint="eastAsia"/>
        </w:rPr>
        <w:t>第二章 总体思路</w:t>
      </w:r>
      <w:bookmarkEnd w:id="32"/>
      <w:bookmarkEnd w:id="33"/>
      <w:r>
        <w:rPr>
          <w:rFonts w:hint="eastAsia"/>
        </w:rPr>
        <w:t>与目标</w:t>
      </w:r>
      <w:bookmarkEnd w:id="34"/>
    </w:p>
    <w:p>
      <w:pPr>
        <w:pStyle w:val="3"/>
      </w:pPr>
      <w:bookmarkStart w:id="35" w:name="_Toc64966203"/>
      <w:bookmarkStart w:id="36" w:name="_Toc66112124"/>
      <w:bookmarkStart w:id="37" w:name="_Toc75367581"/>
      <w:r>
        <w:rPr>
          <w:rFonts w:hint="eastAsia"/>
        </w:rPr>
        <w:t>第一节 指导思</w:t>
      </w:r>
      <w:bookmarkEnd w:id="35"/>
      <w:bookmarkEnd w:id="36"/>
      <w:r>
        <w:rPr>
          <w:rFonts w:hint="eastAsia"/>
        </w:rPr>
        <w:t>想</w:t>
      </w:r>
      <w:bookmarkEnd w:id="37"/>
    </w:p>
    <w:p>
      <w:pPr>
        <w:ind w:firstLine="640"/>
      </w:pPr>
      <w:r>
        <w:rPr>
          <w:rFonts w:hint="eastAsia"/>
        </w:rPr>
        <w:t>高举习近平新时代中国特色社会主义思想伟大旗帜，全面贯彻党的十九大和十九届二中、三中、四中、五中全会精神以及中央经济工作会议、农村工作会议精神，深入贯彻习近平总书记对广东重要讲话和一系列重要指示批示精神，增强“四个意识”、坚定“四个自信”、做到“两个维护”，坚持以人民为中心，坚持稳中求进工作总基调，坚持新发展理念，坚持以供给侧结构性改革为主线，坚持以改革开放为动力推动高质量发展，坚持深化市场化改革、扩大高水平开放，着力加强供给侧结构性改革，遵循国际化、中高端、集群化、专业化发展方向，大力构建功能完备、结构优化、质量一流、发展均衡、服务高效的现代服务体系，巩固提升金融创新、物流枢纽和创意设计服务功能，积极增强信息资源交流和科技、产业创新能力，将揭东打造成为粤东地区具有影响力的国际化现代服务高地，助力揭东实现“产业现代化、新型城镇化”，建设成为产城乡融合发展示范区提供支撑，为揭阳打造广东沿海经济带新增长极贡献力量。</w:t>
      </w:r>
    </w:p>
    <w:p>
      <w:pPr>
        <w:pStyle w:val="3"/>
      </w:pPr>
      <w:bookmarkStart w:id="38" w:name="_Toc66112125"/>
      <w:bookmarkStart w:id="39" w:name="_Toc75367582"/>
      <w:r>
        <w:rPr>
          <w:rFonts w:hint="eastAsia"/>
        </w:rPr>
        <w:t>第二节 基本原则</w:t>
      </w:r>
      <w:bookmarkEnd w:id="38"/>
      <w:bookmarkEnd w:id="39"/>
    </w:p>
    <w:p>
      <w:pPr>
        <w:ind w:firstLine="640"/>
      </w:pPr>
      <w:r>
        <w:rPr>
          <w:rFonts w:hint="eastAsia"/>
        </w:rPr>
        <w:t>坚持市场化、产业化、社会化方向，推动服务业供给侧结构性改革，构建适应信息经济和创新发展需要的现代服务业体系，以更高水平的服务业推动经济、社会、城市和人的全面发展。</w:t>
      </w:r>
    </w:p>
    <w:p>
      <w:pPr>
        <w:ind w:firstLine="643"/>
      </w:pPr>
      <w:r>
        <w:rPr>
          <w:rFonts w:hint="eastAsia" w:ascii="仿宋" w:hAnsi="仿宋"/>
          <w:b/>
          <w:bCs/>
          <w:szCs w:val="32"/>
        </w:rPr>
        <w:t>——政府引导、市场驱动。</w:t>
      </w:r>
      <w:r>
        <w:rPr>
          <w:rFonts w:hint="eastAsia"/>
        </w:rPr>
        <w:t>发挥市场在资源配置中的决定性作用，创新政府对服务业发展的引导作用，顺应新形势新要求，维护市场规则秩序，促进市场公平竞争，强化企业市场主体地位，激发企业创新活力，营造市场主体良性互动、要素资源高效利用的服务业发展环境。</w:t>
      </w:r>
    </w:p>
    <w:p>
      <w:pPr>
        <w:ind w:firstLine="643"/>
      </w:pPr>
      <w:r>
        <w:rPr>
          <w:rFonts w:hint="eastAsia" w:ascii="仿宋" w:hAnsi="仿宋"/>
          <w:b/>
          <w:bCs/>
          <w:szCs w:val="32"/>
        </w:rPr>
        <w:t>——改革创新、跨界融合。</w:t>
      </w:r>
      <w:r>
        <w:rPr>
          <w:rFonts w:hint="eastAsia"/>
        </w:rPr>
        <w:t>以改革创新释放产业发展活力，进一步放宽服务行业的市场准入，鼓励引导服务业企业开展服务流程、服务产品、服务方式的创新。发挥服务业与前沿科技渗透融合的优势，促进服务业与制造业、服务业内部的有机融合，拓展服务业发展新领域。</w:t>
      </w:r>
    </w:p>
    <w:p>
      <w:pPr>
        <w:ind w:firstLine="643"/>
      </w:pPr>
      <w:r>
        <w:rPr>
          <w:rFonts w:hint="eastAsia" w:ascii="仿宋" w:hAnsi="仿宋"/>
          <w:b/>
          <w:bCs/>
          <w:szCs w:val="32"/>
        </w:rPr>
        <w:t>——厚植优势、高端发展。</w:t>
      </w:r>
      <w:r>
        <w:rPr>
          <w:rFonts w:hint="eastAsia"/>
        </w:rPr>
        <w:t>巩固服务业优势领域，培育特色服务产业，着力提升服务业发展能级，推动服务产业链和价值链向高端攀升。重点发展体现国家战略和国际大都市服务功能的高端服务行业，提升揭东标准在服务业领域的话语权和影响力，抢占全球产业发展的战略制高点。</w:t>
      </w:r>
    </w:p>
    <w:p>
      <w:pPr>
        <w:ind w:firstLine="643"/>
      </w:pPr>
      <w:r>
        <w:rPr>
          <w:rFonts w:hint="eastAsia" w:ascii="仿宋" w:hAnsi="仿宋"/>
          <w:b/>
          <w:bCs/>
          <w:szCs w:val="32"/>
        </w:rPr>
        <w:t>——集约集聚、外溢辐射。</w:t>
      </w:r>
      <w:r>
        <w:rPr>
          <w:rFonts w:hint="eastAsia"/>
        </w:rPr>
        <w:t>注重产业链配套协作与专业分工，创新集聚发展模式，促进产业互促、资源共享，增强集群效应。强化服务输出能力，提升辐射带动作用，积极参与区域和国际分工协作，打造基础设施互联互通、要素自由流动、资源充分共享、市场深度融合、互利互补共赢的服务业发展新格局。</w:t>
      </w:r>
    </w:p>
    <w:p>
      <w:pPr>
        <w:ind w:firstLine="643"/>
      </w:pPr>
      <w:r>
        <w:rPr>
          <w:rFonts w:hint="eastAsia" w:ascii="仿宋" w:hAnsi="仿宋"/>
          <w:b/>
          <w:bCs/>
          <w:szCs w:val="32"/>
        </w:rPr>
        <w:t>——产城融合、以人为本。</w:t>
      </w:r>
      <w:r>
        <w:rPr>
          <w:rFonts w:hint="eastAsia"/>
        </w:rPr>
        <w:t>强化服务业对城市功能支撑，促进形成产业、城市与人三者之间的良性互动。注重人民群众日益增长的多元化、多层次的服务需求，扩大供给总量，优化供给结构，促进新消费需求及时转化为新供给，以服务业发展提升城市宜居宜业水平。</w:t>
      </w:r>
    </w:p>
    <w:p>
      <w:pPr>
        <w:pStyle w:val="3"/>
      </w:pPr>
      <w:bookmarkStart w:id="40" w:name="_Toc64966205"/>
      <w:bookmarkStart w:id="41" w:name="_Toc66112126"/>
      <w:bookmarkStart w:id="42" w:name="_Toc75367583"/>
      <w:r>
        <w:rPr>
          <w:rFonts w:hint="eastAsia"/>
        </w:rPr>
        <w:t>第三节 总体目标</w:t>
      </w:r>
      <w:bookmarkEnd w:id="40"/>
      <w:bookmarkEnd w:id="41"/>
      <w:bookmarkEnd w:id="42"/>
    </w:p>
    <w:p>
      <w:pPr>
        <w:ind w:firstLine="640"/>
      </w:pPr>
      <w:r>
        <w:rPr>
          <w:rFonts w:hint="eastAsia"/>
        </w:rPr>
        <w:t>“十四五”时期服务业发展的主要目标是：服务业发展实力显著提升、产业结构显著优化、区域竞争力显著增强，成为揭东高质量发展的重要驱动力。</w:t>
      </w:r>
    </w:p>
    <w:p>
      <w:pPr>
        <w:ind w:firstLine="643"/>
      </w:pPr>
      <w:r>
        <w:rPr>
          <w:rFonts w:hint="eastAsia" w:ascii="仿宋" w:hAnsi="仿宋"/>
          <w:b/>
          <w:bCs/>
          <w:szCs w:val="32"/>
        </w:rPr>
        <w:t>——发展实力显著提升。</w:t>
      </w:r>
      <w:r>
        <w:rPr>
          <w:rFonts w:hint="eastAsia"/>
        </w:rPr>
        <w:t>保持高质量发展中服务业科学合理增长，服务业对经济社会发展的拉动作用明显增强。服务业增加值年均增速高于GDP增速，到2025年，服务业增加值占GDP比重达</w:t>
      </w:r>
      <w:r>
        <w:t>60</w:t>
      </w:r>
      <w:r>
        <w:rPr>
          <w:rFonts w:hint="eastAsia"/>
        </w:rPr>
        <w:t>%左右，服务经济在巩固中得到提升。</w:t>
      </w:r>
    </w:p>
    <w:p>
      <w:pPr>
        <w:ind w:firstLine="643"/>
      </w:pPr>
      <w:r>
        <w:rPr>
          <w:rFonts w:hint="eastAsia" w:ascii="仿宋" w:hAnsi="仿宋"/>
          <w:b/>
          <w:bCs/>
          <w:szCs w:val="32"/>
        </w:rPr>
        <w:t>——产业结构显著优化。</w:t>
      </w:r>
      <w:r>
        <w:rPr>
          <w:rFonts w:hint="eastAsia"/>
        </w:rPr>
        <w:t>新技术、新产业、新模式、新业态集中涌现，推动新常态下产业结构优化调整和服务业发展提质增效。到2025年，现代服务业增加值占服务业增加值比重达到45%左右，服务业高端化发展特征更加突出。</w:t>
      </w:r>
    </w:p>
    <w:p>
      <w:pPr>
        <w:ind w:firstLine="643"/>
      </w:pPr>
      <w:r>
        <w:rPr>
          <w:rFonts w:hint="eastAsia" w:ascii="仿宋" w:hAnsi="仿宋"/>
          <w:b/>
          <w:bCs/>
          <w:szCs w:val="32"/>
        </w:rPr>
        <w:t>——区域竞争力显著增强。</w:t>
      </w:r>
      <w:r>
        <w:rPr>
          <w:rFonts w:hint="eastAsia"/>
        </w:rPr>
        <w:t>培育、发展一批具有区域竞争力的总部企业和知名品牌，承接国内、国际产业分工合作的核心、关键、重点环节，以更加优质的服务参与区域经济合作进程。到2025年服务贸易进出口额占对外贸易总额的比重达25%，服务业国际化发展水平明显增强。</w:t>
      </w:r>
    </w:p>
    <w:tbl>
      <w:tblPr>
        <w:tblStyle w:val="29"/>
        <w:tblpPr w:leftFromText="180" w:rightFromText="180" w:vertAnchor="text" w:horzAnchor="margin" w:tblpY="2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634" w:type="dxa"/>
            <w:shd w:val="clear" w:color="auto" w:fill="auto"/>
            <w:vAlign w:val="center"/>
          </w:tcPr>
          <w:p>
            <w:pPr>
              <w:spacing w:line="400" w:lineRule="exact"/>
              <w:ind w:firstLine="0" w:firstLineChars="0"/>
              <w:jc w:val="center"/>
              <w:rPr>
                <w:rFonts w:eastAsia="黑体"/>
                <w:b/>
                <w:bCs/>
                <w:sz w:val="24"/>
                <w:szCs w:val="24"/>
              </w:rPr>
            </w:pPr>
            <w:r>
              <w:rPr>
                <w:rFonts w:eastAsia="黑体"/>
                <w:b/>
                <w:bCs/>
                <w:sz w:val="24"/>
                <w:szCs w:val="24"/>
              </w:rPr>
              <w:t>专栏1  揭东区</w:t>
            </w:r>
            <w:r>
              <w:rPr>
                <w:rFonts w:hint="eastAsia" w:eastAsia="黑体"/>
                <w:b/>
                <w:bCs/>
                <w:sz w:val="24"/>
                <w:szCs w:val="24"/>
              </w:rPr>
              <w:t>“十四五”</w:t>
            </w:r>
            <w:r>
              <w:rPr>
                <w:rFonts w:eastAsia="黑体"/>
                <w:b/>
                <w:bCs/>
                <w:sz w:val="24"/>
                <w:szCs w:val="24"/>
              </w:rPr>
              <w:t>服务业发展主要指标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34" w:type="dxa"/>
            <w:vAlign w:val="center"/>
          </w:tcPr>
          <w:tbl>
            <w:tblPr>
              <w:tblStyle w:val="29"/>
              <w:tblpPr w:leftFromText="180" w:rightFromText="180" w:horzAnchor="margin" w:tblpXSpec="center" w:tblpY="218"/>
              <w:tblOverlap w:val="never"/>
              <w:tblW w:w="9071"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680"/>
              <w:gridCol w:w="680"/>
              <w:gridCol w:w="4819"/>
              <w:gridCol w:w="964"/>
              <w:gridCol w:w="964"/>
              <w:gridCol w:w="964"/>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类别</w:t>
                  </w:r>
                </w:p>
              </w:tc>
              <w:tc>
                <w:tcPr>
                  <w:tcW w:w="680"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序号</w:t>
                  </w:r>
                </w:p>
              </w:tc>
              <w:tc>
                <w:tcPr>
                  <w:tcW w:w="4819"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指标</w:t>
                  </w:r>
                </w:p>
              </w:tc>
              <w:tc>
                <w:tcPr>
                  <w:tcW w:w="964"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20</w:t>
                  </w:r>
                  <w:r>
                    <w:rPr>
                      <w:rFonts w:eastAsia="宋体" w:cs="宋体"/>
                      <w:b/>
                      <w:kern w:val="0"/>
                      <w:sz w:val="21"/>
                      <w:szCs w:val="21"/>
                    </w:rPr>
                    <w:t>20</w:t>
                  </w:r>
                  <w:r>
                    <w:rPr>
                      <w:rFonts w:hint="eastAsia" w:eastAsia="宋体" w:cs="宋体"/>
                      <w:b/>
                      <w:kern w:val="0"/>
                      <w:sz w:val="21"/>
                      <w:szCs w:val="21"/>
                    </w:rPr>
                    <w:t>年</w:t>
                  </w:r>
                </w:p>
              </w:tc>
              <w:tc>
                <w:tcPr>
                  <w:tcW w:w="964"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202</w:t>
                  </w:r>
                  <w:r>
                    <w:rPr>
                      <w:rFonts w:eastAsia="宋体" w:cs="宋体"/>
                      <w:b/>
                      <w:kern w:val="0"/>
                      <w:sz w:val="21"/>
                      <w:szCs w:val="21"/>
                    </w:rPr>
                    <w:t>5</w:t>
                  </w:r>
                  <w:r>
                    <w:rPr>
                      <w:rFonts w:hint="eastAsia" w:eastAsia="宋体" w:cs="宋体"/>
                      <w:b/>
                      <w:kern w:val="0"/>
                      <w:sz w:val="21"/>
                      <w:szCs w:val="21"/>
                    </w:rPr>
                    <w:t>年</w:t>
                  </w:r>
                </w:p>
              </w:tc>
              <w:tc>
                <w:tcPr>
                  <w:tcW w:w="964" w:type="dxa"/>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属性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restart"/>
                  <w:vAlign w:val="center"/>
                </w:tcPr>
                <w:p>
                  <w:pPr>
                    <w:spacing w:line="260" w:lineRule="exact"/>
                    <w:ind w:firstLine="0" w:firstLineChars="0"/>
                    <w:jc w:val="center"/>
                    <w:rPr>
                      <w:rFonts w:eastAsia="宋体" w:cs="宋体"/>
                      <w:kern w:val="0"/>
                      <w:sz w:val="21"/>
                      <w:szCs w:val="21"/>
                    </w:rPr>
                  </w:pPr>
                  <w:r>
                    <w:rPr>
                      <w:rFonts w:hint="eastAsia" w:eastAsia="宋体" w:cs="宋体"/>
                      <w:kern w:val="0"/>
                      <w:sz w:val="21"/>
                      <w:szCs w:val="21"/>
                    </w:rPr>
                    <w:t>规模目标</w:t>
                  </w: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服务业年均增速（%）</w:t>
                  </w:r>
                </w:p>
              </w:tc>
              <w:tc>
                <w:tcPr>
                  <w:tcW w:w="964" w:type="dxa"/>
                  <w:vAlign w:val="center"/>
                </w:tcPr>
                <w:p>
                  <w:pPr>
                    <w:spacing w:line="320" w:lineRule="exact"/>
                    <w:ind w:firstLine="0" w:firstLineChars="0"/>
                    <w:jc w:val="center"/>
                    <w:rPr>
                      <w:rFonts w:eastAsia="宋体" w:cs="宋体"/>
                      <w:b/>
                      <w:kern w:val="0"/>
                      <w:sz w:val="21"/>
                      <w:szCs w:val="21"/>
                    </w:rPr>
                  </w:pPr>
                  <w:r>
                    <w:rPr>
                      <w:rFonts w:hint="eastAsia" w:eastAsia="宋体" w:cs="宋体"/>
                      <w:b/>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12.25</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2</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服务业增加值（亿元）</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210.25</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374.64</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3</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服务业增加值占GDP的比重（%）</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48.3</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60</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bookmarkStart w:id="43" w:name="_Hlk95317893"/>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4</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社会消费品零售总额（亿元）</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182.2</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261.6</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bookmarkEnd w:id="43"/>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restart"/>
                  <w:vAlign w:val="center"/>
                </w:tcPr>
                <w:p>
                  <w:pPr>
                    <w:spacing w:line="260" w:lineRule="exact"/>
                    <w:ind w:firstLine="0" w:firstLineChars="0"/>
                    <w:jc w:val="center"/>
                    <w:rPr>
                      <w:rFonts w:eastAsia="宋体" w:cs="宋体"/>
                      <w:b/>
                      <w:kern w:val="0"/>
                      <w:sz w:val="21"/>
                      <w:szCs w:val="21"/>
                    </w:rPr>
                  </w:pPr>
                  <w:r>
                    <w:rPr>
                      <w:rFonts w:hint="eastAsia" w:eastAsia="宋体" w:cs="宋体"/>
                      <w:kern w:val="0"/>
                      <w:sz w:val="21"/>
                      <w:szCs w:val="21"/>
                    </w:rPr>
                    <w:t>结构目标</w:t>
                  </w: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5</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生产性服务业占服务业比重（%）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37.96</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b/>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6</w:t>
                  </w:r>
                </w:p>
              </w:tc>
              <w:tc>
                <w:tcPr>
                  <w:tcW w:w="4819" w:type="dxa"/>
                  <w:vAlign w:val="center"/>
                </w:tcPr>
                <w:p>
                  <w:pPr>
                    <w:widowControl/>
                    <w:spacing w:line="320" w:lineRule="exact"/>
                    <w:ind w:firstLine="0" w:firstLineChars="0"/>
                    <w:rPr>
                      <w:rFonts w:eastAsia="宋体"/>
                      <w:kern w:val="0"/>
                      <w:sz w:val="21"/>
                      <w:szCs w:val="21"/>
                    </w:rPr>
                  </w:pPr>
                  <w:r>
                    <w:rPr>
                      <w:rFonts w:eastAsia="宋体"/>
                      <w:kern w:val="0"/>
                      <w:sz w:val="21"/>
                      <w:szCs w:val="21"/>
                    </w:rPr>
                    <w:t>物流业增加值占GDP比重（%）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15</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b/>
                      <w:kern w:val="0"/>
                      <w:sz w:val="21"/>
                      <w:szCs w:val="21"/>
                    </w:rPr>
                  </w:pPr>
                  <w:bookmarkStart w:id="44" w:name="_Hlk95318622"/>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7</w:t>
                  </w:r>
                </w:p>
              </w:tc>
              <w:tc>
                <w:tcPr>
                  <w:tcW w:w="4819" w:type="dxa"/>
                  <w:vAlign w:val="center"/>
                </w:tcPr>
                <w:p>
                  <w:pPr>
                    <w:widowControl/>
                    <w:spacing w:line="320" w:lineRule="exact"/>
                    <w:ind w:firstLine="0" w:firstLineChars="0"/>
                    <w:rPr>
                      <w:rFonts w:eastAsia="宋体"/>
                      <w:kern w:val="0"/>
                      <w:sz w:val="21"/>
                      <w:szCs w:val="21"/>
                    </w:rPr>
                  </w:pPr>
                  <w:r>
                    <w:rPr>
                      <w:rFonts w:eastAsia="宋体"/>
                      <w:kern w:val="0"/>
                      <w:sz w:val="21"/>
                      <w:szCs w:val="21"/>
                    </w:rPr>
                    <w:t>金融业增加值占GDP比重（%）</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2.4</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4</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bookmarkEnd w:id="44"/>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b/>
                      <w:kern w:val="0"/>
                      <w:sz w:val="21"/>
                      <w:szCs w:val="21"/>
                    </w:rPr>
                  </w:pPr>
                  <w:bookmarkStart w:id="45" w:name="_Hlk95318863"/>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8</w:t>
                  </w:r>
                </w:p>
              </w:tc>
              <w:tc>
                <w:tcPr>
                  <w:tcW w:w="4819" w:type="dxa"/>
                  <w:vAlign w:val="center"/>
                </w:tcPr>
                <w:p>
                  <w:pPr>
                    <w:widowControl/>
                    <w:spacing w:line="320" w:lineRule="exact"/>
                    <w:ind w:firstLine="0" w:firstLineChars="0"/>
                    <w:rPr>
                      <w:rFonts w:eastAsia="宋体"/>
                      <w:kern w:val="0"/>
                      <w:sz w:val="21"/>
                      <w:szCs w:val="21"/>
                    </w:rPr>
                  </w:pPr>
                  <w:r>
                    <w:rPr>
                      <w:rFonts w:eastAsia="宋体"/>
                      <w:kern w:val="0"/>
                      <w:sz w:val="21"/>
                      <w:szCs w:val="21"/>
                    </w:rPr>
                    <w:t>文化创意产业增加值占GDP比重（%）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4</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bookmarkEnd w:id="45"/>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bookmarkStart w:id="46" w:name="_Hlk95319207"/>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9</w:t>
                  </w:r>
                </w:p>
              </w:tc>
              <w:tc>
                <w:tcPr>
                  <w:tcW w:w="4819" w:type="dxa"/>
                  <w:vAlign w:val="center"/>
                </w:tcPr>
                <w:p>
                  <w:pPr>
                    <w:widowControl/>
                    <w:spacing w:line="260" w:lineRule="exact"/>
                    <w:ind w:firstLine="0" w:firstLineChars="0"/>
                    <w:rPr>
                      <w:rFonts w:eastAsia="宋体"/>
                      <w:spacing w:val="-4"/>
                      <w:kern w:val="0"/>
                      <w:sz w:val="21"/>
                      <w:szCs w:val="21"/>
                    </w:rPr>
                  </w:pPr>
                  <w:r>
                    <w:rPr>
                      <w:rFonts w:eastAsia="宋体"/>
                      <w:spacing w:val="-4"/>
                      <w:kern w:val="0"/>
                      <w:sz w:val="21"/>
                      <w:szCs w:val="21"/>
                    </w:rPr>
                    <w:t>信息传输、软件和信息技术服务业增加值占GDP比重（%）</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1.3</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1.8</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bookmarkEnd w:id="46"/>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0</w:t>
                  </w:r>
                </w:p>
              </w:tc>
              <w:tc>
                <w:tcPr>
                  <w:tcW w:w="4819" w:type="dxa"/>
                  <w:vAlign w:val="center"/>
                </w:tcPr>
                <w:p>
                  <w:pPr>
                    <w:widowControl/>
                    <w:tabs>
                      <w:tab w:val="center" w:pos="1702"/>
                    </w:tabs>
                    <w:spacing w:line="320" w:lineRule="exact"/>
                    <w:ind w:firstLine="0" w:firstLineChars="0"/>
                    <w:rPr>
                      <w:rFonts w:eastAsia="宋体"/>
                      <w:kern w:val="0"/>
                      <w:sz w:val="21"/>
                      <w:szCs w:val="21"/>
                    </w:rPr>
                  </w:pPr>
                  <w:r>
                    <w:rPr>
                      <w:rFonts w:hint="eastAsia" w:eastAsia="宋体"/>
                      <w:kern w:val="0"/>
                      <w:sz w:val="21"/>
                      <w:szCs w:val="21"/>
                    </w:rPr>
                    <w:t>五年累计</w:t>
                  </w:r>
                  <w:r>
                    <w:rPr>
                      <w:rFonts w:eastAsia="宋体"/>
                      <w:kern w:val="0"/>
                      <w:sz w:val="21"/>
                      <w:szCs w:val="21"/>
                    </w:rPr>
                    <w:t>旅游总收入（亿元）</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101.84</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150</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1</w:t>
                  </w:r>
                </w:p>
              </w:tc>
              <w:tc>
                <w:tcPr>
                  <w:tcW w:w="4819" w:type="dxa"/>
                  <w:vAlign w:val="center"/>
                </w:tcPr>
                <w:p>
                  <w:pPr>
                    <w:widowControl/>
                    <w:tabs>
                      <w:tab w:val="center" w:pos="1702"/>
                    </w:tabs>
                    <w:adjustRightInd/>
                    <w:snapToGrid/>
                    <w:spacing w:line="240" w:lineRule="auto"/>
                    <w:ind w:firstLine="0" w:firstLineChars="0"/>
                    <w:rPr>
                      <w:rFonts w:eastAsia="宋体"/>
                      <w:kern w:val="0"/>
                      <w:sz w:val="21"/>
                      <w:szCs w:val="21"/>
                    </w:rPr>
                  </w:pPr>
                  <w:r>
                    <w:rPr>
                      <w:rFonts w:hint="eastAsia" w:eastAsia="宋体"/>
                      <w:kern w:val="0"/>
                      <w:sz w:val="21"/>
                      <w:szCs w:val="21"/>
                    </w:rPr>
                    <w:t>金融机构本外币各项存款余额（亿元）</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393.97</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578</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2</w:t>
                  </w:r>
                </w:p>
              </w:tc>
              <w:tc>
                <w:tcPr>
                  <w:tcW w:w="4819" w:type="dxa"/>
                  <w:vAlign w:val="center"/>
                </w:tcPr>
                <w:p>
                  <w:pPr>
                    <w:widowControl/>
                    <w:spacing w:line="320" w:lineRule="exact"/>
                    <w:ind w:firstLine="0" w:firstLineChars="0"/>
                    <w:rPr>
                      <w:rFonts w:eastAsia="宋体"/>
                      <w:kern w:val="0"/>
                      <w:sz w:val="21"/>
                      <w:szCs w:val="21"/>
                    </w:rPr>
                  </w:pPr>
                  <w:r>
                    <w:rPr>
                      <w:rFonts w:hint="eastAsia" w:eastAsia="宋体"/>
                      <w:kern w:val="0"/>
                      <w:sz w:val="21"/>
                      <w:szCs w:val="21"/>
                    </w:rPr>
                    <w:t>金融机构本外币各项贷款余额（亿元）</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50.94</w:t>
                  </w:r>
                </w:p>
              </w:tc>
              <w:tc>
                <w:tcPr>
                  <w:tcW w:w="964" w:type="dxa"/>
                </w:tcPr>
                <w:p>
                  <w:pPr>
                    <w:spacing w:line="320" w:lineRule="exact"/>
                    <w:ind w:firstLine="0" w:firstLineChars="0"/>
                    <w:jc w:val="center"/>
                    <w:rPr>
                      <w:rFonts w:eastAsia="宋体" w:cs="宋体"/>
                      <w:kern w:val="0"/>
                      <w:sz w:val="21"/>
                      <w:szCs w:val="21"/>
                    </w:rPr>
                  </w:pPr>
                  <w:r>
                    <w:rPr>
                      <w:rFonts w:eastAsia="宋体" w:cs="宋体"/>
                      <w:kern w:val="0"/>
                      <w:sz w:val="21"/>
                      <w:szCs w:val="21"/>
                    </w:rPr>
                    <w:t>295</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widowControl/>
                    <w:tabs>
                      <w:tab w:val="center" w:pos="1702"/>
                    </w:tabs>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3</w:t>
                  </w:r>
                </w:p>
              </w:tc>
              <w:tc>
                <w:tcPr>
                  <w:tcW w:w="4819" w:type="dxa"/>
                  <w:vAlign w:val="center"/>
                </w:tcPr>
                <w:p>
                  <w:pPr>
                    <w:widowControl/>
                    <w:tabs>
                      <w:tab w:val="center" w:pos="1702"/>
                    </w:tabs>
                    <w:spacing w:line="320" w:lineRule="exact"/>
                    <w:ind w:firstLine="0" w:firstLineChars="0"/>
                    <w:rPr>
                      <w:rFonts w:eastAsia="宋体"/>
                      <w:kern w:val="0"/>
                      <w:sz w:val="21"/>
                      <w:szCs w:val="21"/>
                    </w:rPr>
                  </w:pPr>
                  <w:r>
                    <w:rPr>
                      <w:rFonts w:hint="eastAsia" w:eastAsia="宋体"/>
                      <w:kern w:val="0"/>
                      <w:sz w:val="21"/>
                      <w:szCs w:val="21"/>
                    </w:rPr>
                    <w:t>外贸进出口总额（万美元）</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kern w:val="0"/>
                      <w:sz w:val="21"/>
                      <w:szCs w:val="21"/>
                    </w:rPr>
                    <w:t>119106</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191821</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widowControl/>
                    <w:tabs>
                      <w:tab w:val="center" w:pos="1702"/>
                    </w:tabs>
                    <w:spacing w:line="320" w:lineRule="exact"/>
                    <w:ind w:firstLine="0" w:firstLineChars="0"/>
                    <w:jc w:val="center"/>
                    <w:rPr>
                      <w:rFonts w:eastAsia="宋体"/>
                      <w:kern w:val="0"/>
                      <w:sz w:val="21"/>
                      <w:szCs w:val="21"/>
                    </w:rPr>
                  </w:pPr>
                  <w:r>
                    <w:rPr>
                      <w:rFonts w:hint="eastAsia" w:eastAsia="宋体" w:cs="宋体"/>
                      <w:kern w:val="0"/>
                      <w:sz w:val="21"/>
                      <w:szCs w:val="21"/>
                    </w:rPr>
                    <w:t>1</w:t>
                  </w:r>
                  <w:r>
                    <w:rPr>
                      <w:rFonts w:eastAsia="宋体" w:cs="宋体"/>
                      <w:kern w:val="0"/>
                      <w:sz w:val="21"/>
                      <w:szCs w:val="21"/>
                    </w:rPr>
                    <w:t>4</w:t>
                  </w:r>
                </w:p>
              </w:tc>
              <w:tc>
                <w:tcPr>
                  <w:tcW w:w="4819" w:type="dxa"/>
                  <w:vAlign w:val="center"/>
                </w:tcPr>
                <w:p>
                  <w:pPr>
                    <w:widowControl/>
                    <w:tabs>
                      <w:tab w:val="center" w:pos="1702"/>
                    </w:tabs>
                    <w:spacing w:line="320" w:lineRule="exact"/>
                    <w:ind w:firstLine="0" w:firstLineChars="0"/>
                    <w:rPr>
                      <w:rFonts w:eastAsia="宋体"/>
                      <w:kern w:val="0"/>
                      <w:sz w:val="21"/>
                      <w:szCs w:val="21"/>
                    </w:rPr>
                  </w:pPr>
                  <w:r>
                    <w:rPr>
                      <w:rFonts w:hint="eastAsia" w:eastAsia="宋体"/>
                      <w:kern w:val="0"/>
                      <w:sz w:val="21"/>
                      <w:szCs w:val="21"/>
                    </w:rPr>
                    <w:t>每千名老人人口养老床位数（张）</w:t>
                  </w:r>
                </w:p>
              </w:tc>
              <w:tc>
                <w:tcPr>
                  <w:tcW w:w="964" w:type="dxa"/>
                  <w:vAlign w:val="center"/>
                </w:tcPr>
                <w:p>
                  <w:pPr>
                    <w:spacing w:line="320" w:lineRule="exact"/>
                    <w:ind w:firstLine="0" w:firstLineChars="0"/>
                    <w:jc w:val="center"/>
                    <w:rPr>
                      <w:rFonts w:eastAsia="宋体" w:cs="宋体"/>
                      <w:kern w:val="0"/>
                      <w:sz w:val="21"/>
                      <w:szCs w:val="21"/>
                    </w:rPr>
                  </w:pPr>
                  <w:r>
                    <w:rPr>
                      <w:sz w:val="24"/>
                      <w:szCs w:val="24"/>
                    </w:rPr>
                    <w:t>36.2</w:t>
                  </w:r>
                </w:p>
              </w:tc>
              <w:tc>
                <w:tcPr>
                  <w:tcW w:w="964" w:type="dxa"/>
                  <w:vAlign w:val="center"/>
                </w:tcPr>
                <w:p>
                  <w:pPr>
                    <w:spacing w:line="320" w:lineRule="exact"/>
                    <w:ind w:firstLine="0" w:firstLineChars="0"/>
                    <w:jc w:val="center"/>
                    <w:rPr>
                      <w:rFonts w:eastAsia="宋体" w:cs="宋体"/>
                      <w:kern w:val="0"/>
                      <w:sz w:val="21"/>
                      <w:szCs w:val="21"/>
                    </w:rPr>
                  </w:pPr>
                  <w:r>
                    <w:rPr>
                      <w:rFonts w:hint="eastAsia"/>
                      <w:sz w:val="24"/>
                      <w:szCs w:val="24"/>
                    </w:rPr>
                    <w:t>40</w:t>
                  </w:r>
                </w:p>
              </w:tc>
              <w:tc>
                <w:tcPr>
                  <w:tcW w:w="964" w:type="dxa"/>
                </w:tcPr>
                <w:p>
                  <w:pPr>
                    <w:spacing w:line="320" w:lineRule="exact"/>
                    <w:ind w:firstLine="0" w:firstLineChars="0"/>
                    <w:jc w:val="center"/>
                    <w:rPr>
                      <w:sz w:val="24"/>
                      <w:szCs w:val="24"/>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restart"/>
                  <w:vAlign w:val="center"/>
                </w:tcPr>
                <w:p>
                  <w:pPr>
                    <w:spacing w:line="260" w:lineRule="exact"/>
                    <w:ind w:firstLine="0" w:firstLineChars="0"/>
                    <w:jc w:val="center"/>
                    <w:rPr>
                      <w:rFonts w:eastAsia="宋体" w:cs="宋体"/>
                      <w:kern w:val="0"/>
                      <w:sz w:val="21"/>
                      <w:szCs w:val="21"/>
                    </w:rPr>
                  </w:pPr>
                  <w:r>
                    <w:rPr>
                      <w:rFonts w:hint="eastAsia" w:eastAsia="宋体" w:cs="宋体"/>
                      <w:kern w:val="0"/>
                      <w:sz w:val="21"/>
                      <w:szCs w:val="21"/>
                    </w:rPr>
                    <w:t>贡献目标</w:t>
                  </w: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5</w:t>
                  </w:r>
                </w:p>
              </w:tc>
              <w:tc>
                <w:tcPr>
                  <w:tcW w:w="4819" w:type="dxa"/>
                  <w:vAlign w:val="center"/>
                </w:tcPr>
                <w:p>
                  <w:pPr>
                    <w:spacing w:line="320" w:lineRule="exact"/>
                    <w:ind w:firstLine="0" w:firstLineChars="0"/>
                    <w:rPr>
                      <w:rFonts w:eastAsia="宋体"/>
                      <w:spacing w:val="-4"/>
                      <w:kern w:val="0"/>
                      <w:sz w:val="21"/>
                      <w:szCs w:val="21"/>
                    </w:rPr>
                  </w:pPr>
                  <w:r>
                    <w:rPr>
                      <w:rFonts w:eastAsia="宋体"/>
                      <w:spacing w:val="-4"/>
                      <w:kern w:val="0"/>
                      <w:sz w:val="21"/>
                      <w:szCs w:val="21"/>
                    </w:rPr>
                    <w:t>服务业从业人员占全社会从业人员比重（%）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5</w:t>
                  </w:r>
                  <w:r>
                    <w:rPr>
                      <w:rFonts w:eastAsia="宋体" w:cs="宋体"/>
                      <w:kern w:val="0"/>
                      <w:sz w:val="21"/>
                      <w:szCs w:val="21"/>
                    </w:rPr>
                    <w:t>1</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6</w:t>
                  </w:r>
                </w:p>
              </w:tc>
              <w:tc>
                <w:tcPr>
                  <w:tcW w:w="4819" w:type="dxa"/>
                  <w:vAlign w:val="center"/>
                </w:tcPr>
                <w:p>
                  <w:pPr>
                    <w:spacing w:line="320" w:lineRule="exact"/>
                    <w:ind w:firstLine="0" w:firstLineChars="0"/>
                    <w:rPr>
                      <w:rFonts w:eastAsia="宋体"/>
                      <w:spacing w:val="-4"/>
                      <w:kern w:val="0"/>
                      <w:sz w:val="21"/>
                      <w:szCs w:val="21"/>
                    </w:rPr>
                  </w:pPr>
                  <w:r>
                    <w:rPr>
                      <w:rFonts w:eastAsia="宋体"/>
                      <w:spacing w:val="-4"/>
                      <w:kern w:val="0"/>
                      <w:sz w:val="21"/>
                      <w:szCs w:val="21"/>
                    </w:rPr>
                    <w:t>服务业税收占全社会税收比重（%）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5</w:t>
                  </w:r>
                  <w:r>
                    <w:rPr>
                      <w:rFonts w:eastAsia="宋体" w:cs="宋体"/>
                      <w:kern w:val="0"/>
                      <w:sz w:val="21"/>
                      <w:szCs w:val="21"/>
                    </w:rPr>
                    <w:t>5.7</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6</w:t>
                  </w:r>
                  <w:r>
                    <w:rPr>
                      <w:rFonts w:eastAsia="宋体" w:cs="宋体"/>
                      <w:kern w:val="0"/>
                      <w:sz w:val="21"/>
                      <w:szCs w:val="21"/>
                    </w:rPr>
                    <w:t>1</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restart"/>
                  <w:vAlign w:val="center"/>
                </w:tcPr>
                <w:p>
                  <w:pPr>
                    <w:spacing w:line="260" w:lineRule="exact"/>
                    <w:ind w:firstLine="0" w:firstLineChars="0"/>
                    <w:jc w:val="center"/>
                    <w:rPr>
                      <w:rFonts w:eastAsia="宋体" w:cs="宋体"/>
                      <w:kern w:val="0"/>
                      <w:sz w:val="21"/>
                      <w:szCs w:val="21"/>
                    </w:rPr>
                  </w:pPr>
                  <w:r>
                    <w:rPr>
                      <w:rFonts w:hint="eastAsia" w:eastAsia="宋体" w:cs="宋体"/>
                      <w:kern w:val="0"/>
                      <w:sz w:val="21"/>
                      <w:szCs w:val="21"/>
                    </w:rPr>
                    <w:t>创新目标</w:t>
                  </w: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7</w:t>
                  </w:r>
                </w:p>
              </w:tc>
              <w:tc>
                <w:tcPr>
                  <w:tcW w:w="4819" w:type="dxa"/>
                  <w:vAlign w:val="center"/>
                </w:tcPr>
                <w:p>
                  <w:pPr>
                    <w:spacing w:line="320" w:lineRule="exact"/>
                    <w:ind w:firstLine="0" w:firstLineChars="0"/>
                    <w:rPr>
                      <w:rFonts w:eastAsia="宋体"/>
                      <w:spacing w:val="-4"/>
                      <w:kern w:val="0"/>
                      <w:sz w:val="21"/>
                      <w:szCs w:val="21"/>
                    </w:rPr>
                  </w:pPr>
                  <w:r>
                    <w:rPr>
                      <w:rFonts w:eastAsia="宋体"/>
                      <w:spacing w:val="-4"/>
                      <w:kern w:val="0"/>
                      <w:sz w:val="21"/>
                      <w:szCs w:val="21"/>
                    </w:rPr>
                    <w:t>每万人口发明专利拥有量（件/万人）</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1.83</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2.34</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Merge w:val="continue"/>
                  <w:vAlign w:val="center"/>
                </w:tcPr>
                <w:p>
                  <w:pPr>
                    <w:spacing w:line="260" w:lineRule="exact"/>
                    <w:ind w:firstLine="0" w:firstLineChars="0"/>
                    <w:jc w:val="center"/>
                    <w:rPr>
                      <w:rFonts w:eastAsia="宋体" w:cs="宋体"/>
                      <w:kern w:val="0"/>
                      <w:sz w:val="21"/>
                      <w:szCs w:val="21"/>
                    </w:rPr>
                  </w:pP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8</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研究与试验发展（R</w:t>
                  </w:r>
                  <w:r>
                    <w:rPr>
                      <w:rFonts w:eastAsia="宋体" w:cs="宋体"/>
                      <w:spacing w:val="-4"/>
                      <w:kern w:val="0"/>
                      <w:sz w:val="21"/>
                      <w:szCs w:val="21"/>
                    </w:rPr>
                    <w:t>&amp;D</w:t>
                  </w:r>
                  <w:r>
                    <w:rPr>
                      <w:rFonts w:hint="eastAsia" w:eastAsia="宋体" w:cs="宋体"/>
                      <w:spacing w:val="-4"/>
                      <w:kern w:val="0"/>
                      <w:sz w:val="21"/>
                      <w:szCs w:val="21"/>
                    </w:rPr>
                    <w:t>）经费支出占GDP比重（%）</w:t>
                  </w:r>
                </w:p>
              </w:tc>
              <w:tc>
                <w:tcPr>
                  <w:tcW w:w="964" w:type="dxa"/>
                  <w:vAlign w:val="center"/>
                </w:tcPr>
                <w:p>
                  <w:pPr>
                    <w:spacing w:line="320" w:lineRule="exact"/>
                    <w:ind w:firstLine="0" w:firstLineChars="0"/>
                    <w:jc w:val="center"/>
                    <w:rPr>
                      <w:rFonts w:eastAsia="宋体" w:cs="宋体"/>
                      <w:kern w:val="0"/>
                      <w:sz w:val="21"/>
                      <w:szCs w:val="21"/>
                    </w:rPr>
                  </w:pPr>
                  <w:r>
                    <w:rPr>
                      <w:rFonts w:hint="eastAsia"/>
                      <w:spacing w:val="-20"/>
                      <w:kern w:val="0"/>
                      <w:sz w:val="21"/>
                      <w:szCs w:val="21"/>
                    </w:rPr>
                    <w:t>1.1</w:t>
                  </w:r>
                </w:p>
              </w:tc>
              <w:tc>
                <w:tcPr>
                  <w:tcW w:w="964" w:type="dxa"/>
                  <w:vAlign w:val="center"/>
                </w:tcPr>
                <w:p>
                  <w:pPr>
                    <w:spacing w:line="320" w:lineRule="exact"/>
                    <w:ind w:firstLine="0" w:firstLineChars="0"/>
                    <w:jc w:val="center"/>
                    <w:rPr>
                      <w:rFonts w:eastAsia="宋体" w:cs="宋体"/>
                      <w:kern w:val="0"/>
                      <w:sz w:val="21"/>
                      <w:szCs w:val="21"/>
                    </w:rPr>
                  </w:pPr>
                  <w:r>
                    <w:rPr>
                      <w:rFonts w:hint="eastAsia"/>
                      <w:kern w:val="0"/>
                      <w:sz w:val="21"/>
                      <w:szCs w:val="21"/>
                    </w:rPr>
                    <w:t>1.4</w:t>
                  </w:r>
                </w:p>
              </w:tc>
              <w:tc>
                <w:tcPr>
                  <w:tcW w:w="964" w:type="dxa"/>
                </w:tcPr>
                <w:p>
                  <w:pPr>
                    <w:spacing w:line="320" w:lineRule="exact"/>
                    <w:ind w:firstLine="0" w:firstLineChars="0"/>
                    <w:jc w:val="center"/>
                    <w:rPr>
                      <w:kern w:val="0"/>
                      <w:sz w:val="21"/>
                      <w:szCs w:val="21"/>
                    </w:rPr>
                  </w:pPr>
                  <w:r>
                    <w:rPr>
                      <w:rFonts w:hint="eastAsia" w:eastAsia="宋体" w:cs="宋体"/>
                      <w:kern w:val="0"/>
                      <w:sz w:val="21"/>
                      <w:szCs w:val="21"/>
                    </w:rPr>
                    <w:t>预期性</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Ex>
              <w:trPr>
                <w:trHeight w:val="20" w:hRule="atLeast"/>
              </w:trPr>
              <w:tc>
                <w:tcPr>
                  <w:tcW w:w="680" w:type="dxa"/>
                  <w:vAlign w:val="center"/>
                </w:tcPr>
                <w:p>
                  <w:pPr>
                    <w:spacing w:line="260" w:lineRule="exact"/>
                    <w:ind w:firstLine="0" w:firstLineChars="0"/>
                    <w:jc w:val="center"/>
                    <w:rPr>
                      <w:rFonts w:eastAsia="宋体" w:cs="宋体"/>
                      <w:kern w:val="0"/>
                      <w:sz w:val="21"/>
                      <w:szCs w:val="21"/>
                    </w:rPr>
                  </w:pPr>
                  <w:r>
                    <w:rPr>
                      <w:rFonts w:hint="eastAsia" w:eastAsia="宋体" w:cs="宋体"/>
                      <w:kern w:val="0"/>
                      <w:sz w:val="21"/>
                      <w:szCs w:val="21"/>
                    </w:rPr>
                    <w:t>集聚发展目标</w:t>
                  </w:r>
                </w:p>
              </w:tc>
              <w:tc>
                <w:tcPr>
                  <w:tcW w:w="680"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1</w:t>
                  </w:r>
                  <w:r>
                    <w:rPr>
                      <w:rFonts w:eastAsia="宋体" w:cs="宋体"/>
                      <w:kern w:val="0"/>
                      <w:sz w:val="21"/>
                      <w:szCs w:val="21"/>
                    </w:rPr>
                    <w:t>9</w:t>
                  </w:r>
                </w:p>
              </w:tc>
              <w:tc>
                <w:tcPr>
                  <w:tcW w:w="4819" w:type="dxa"/>
                  <w:vAlign w:val="center"/>
                </w:tcPr>
                <w:p>
                  <w:pPr>
                    <w:spacing w:line="320" w:lineRule="exact"/>
                    <w:ind w:firstLine="0" w:firstLineChars="0"/>
                    <w:rPr>
                      <w:rFonts w:eastAsia="宋体" w:cs="宋体"/>
                      <w:spacing w:val="-4"/>
                      <w:kern w:val="0"/>
                      <w:sz w:val="21"/>
                      <w:szCs w:val="21"/>
                    </w:rPr>
                  </w:pPr>
                  <w:r>
                    <w:rPr>
                      <w:rFonts w:hint="eastAsia" w:eastAsia="宋体" w:cs="宋体"/>
                      <w:spacing w:val="-4"/>
                      <w:kern w:val="0"/>
                      <w:sz w:val="21"/>
                      <w:szCs w:val="21"/>
                    </w:rPr>
                    <w:t>服务业集聚区（个）</w:t>
                  </w:r>
                </w:p>
              </w:tc>
              <w:tc>
                <w:tcPr>
                  <w:tcW w:w="964" w:type="dxa"/>
                  <w:vAlign w:val="center"/>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w:t>
                  </w:r>
                </w:p>
              </w:tc>
              <w:tc>
                <w:tcPr>
                  <w:tcW w:w="964" w:type="dxa"/>
                  <w:vAlign w:val="center"/>
                </w:tcPr>
                <w:p>
                  <w:pPr>
                    <w:spacing w:line="320" w:lineRule="exact"/>
                    <w:ind w:firstLine="0" w:firstLineChars="0"/>
                    <w:jc w:val="center"/>
                    <w:rPr>
                      <w:rFonts w:eastAsia="宋体" w:cs="宋体"/>
                      <w:kern w:val="0"/>
                      <w:sz w:val="21"/>
                      <w:szCs w:val="21"/>
                    </w:rPr>
                  </w:pPr>
                  <w:r>
                    <w:rPr>
                      <w:rFonts w:eastAsia="宋体" w:cs="宋体"/>
                      <w:kern w:val="0"/>
                      <w:sz w:val="21"/>
                      <w:szCs w:val="21"/>
                    </w:rPr>
                    <w:t>10</w:t>
                  </w:r>
                </w:p>
              </w:tc>
              <w:tc>
                <w:tcPr>
                  <w:tcW w:w="964" w:type="dxa"/>
                </w:tcPr>
                <w:p>
                  <w:pPr>
                    <w:spacing w:line="320" w:lineRule="exact"/>
                    <w:ind w:firstLine="0" w:firstLineChars="0"/>
                    <w:jc w:val="center"/>
                    <w:rPr>
                      <w:rFonts w:eastAsia="宋体" w:cs="宋体"/>
                      <w:kern w:val="0"/>
                      <w:sz w:val="21"/>
                      <w:szCs w:val="21"/>
                    </w:rPr>
                  </w:pPr>
                  <w:r>
                    <w:rPr>
                      <w:rFonts w:hint="eastAsia" w:eastAsia="宋体" w:cs="宋体"/>
                      <w:kern w:val="0"/>
                      <w:sz w:val="21"/>
                      <w:szCs w:val="21"/>
                    </w:rPr>
                    <w:t>预期性</w:t>
                  </w:r>
                </w:p>
              </w:tc>
            </w:tr>
          </w:tbl>
          <w:p>
            <w:pPr>
              <w:spacing w:line="320" w:lineRule="exact"/>
              <w:ind w:firstLine="0" w:firstLineChars="0"/>
              <w:jc w:val="center"/>
              <w:rPr>
                <w:rFonts w:eastAsia="方正仿宋_GBK" w:cs="宋体"/>
                <w:kern w:val="0"/>
                <w:sz w:val="21"/>
                <w:szCs w:val="21"/>
              </w:rPr>
            </w:pPr>
          </w:p>
        </w:tc>
      </w:tr>
    </w:tbl>
    <w:p>
      <w:pPr>
        <w:pStyle w:val="3"/>
      </w:pPr>
      <w:bookmarkStart w:id="47" w:name="_Toc75367584"/>
      <w:r>
        <w:rPr>
          <w:rFonts w:hint="eastAsia"/>
        </w:rPr>
        <w:t>第四节 发展战略</w:t>
      </w:r>
      <w:bookmarkEnd w:id="47"/>
    </w:p>
    <w:p>
      <w:pPr>
        <w:ind w:firstLine="643"/>
        <w:rPr>
          <w:rFonts w:ascii="仿宋" w:hAnsi="仿宋"/>
        </w:rPr>
      </w:pPr>
      <w:r>
        <w:rPr>
          <w:rFonts w:hint="eastAsia" w:ascii="仿宋" w:hAnsi="仿宋"/>
          <w:b/>
          <w:bCs/>
          <w:szCs w:val="32"/>
        </w:rPr>
        <w:t>——集聚化战略。</w:t>
      </w:r>
      <w:r>
        <w:rPr>
          <w:rFonts w:hint="eastAsia" w:ascii="仿宋" w:hAnsi="仿宋"/>
        </w:rPr>
        <w:t>适应我区新型工业化、信息化、城镇化、农业现代化发展趋势，因地制宜地引导服务业在中心城市、制造业集中区域、现代农业产业基地等区域布局，促进人才、资本和科技等生产要素合理集聚，形成服务业企业资源共享、集聚互动的发展体系，实现规模效益和提质发展。</w:t>
      </w:r>
    </w:p>
    <w:p>
      <w:pPr>
        <w:ind w:firstLine="643"/>
        <w:rPr>
          <w:rFonts w:ascii="仿宋" w:hAnsi="仿宋"/>
        </w:rPr>
      </w:pPr>
      <w:r>
        <w:rPr>
          <w:rFonts w:hint="eastAsia" w:ascii="仿宋" w:hAnsi="仿宋"/>
          <w:b/>
          <w:bCs/>
          <w:szCs w:val="32"/>
        </w:rPr>
        <w:t>——特色化战略。</w:t>
      </w:r>
      <w:r>
        <w:rPr>
          <w:rFonts w:hint="eastAsia" w:ascii="仿宋" w:hAnsi="仿宋"/>
        </w:rPr>
        <w:t>立足发展基础，发挥比较优势，实施分类指导，突出品牌建设，实现差异化发展。优先布局建设一批对国家和我区战略实施支撑能力强、特色优势明显的集聚区，本地品牌培育和外地品牌引进两手抓，支撑我区服务业打响“潮汕牌”“揭东牌”“特色牌”“生态牌”。</w:t>
      </w:r>
    </w:p>
    <w:p>
      <w:pPr>
        <w:ind w:firstLine="643"/>
        <w:rPr>
          <w:rFonts w:ascii="仿宋" w:hAnsi="仿宋"/>
        </w:rPr>
      </w:pPr>
      <w:r>
        <w:rPr>
          <w:rFonts w:hint="eastAsia" w:ascii="仿宋" w:hAnsi="仿宋"/>
          <w:b/>
          <w:bCs/>
          <w:szCs w:val="32"/>
        </w:rPr>
        <w:t>——融合化战略。</w:t>
      </w:r>
      <w:r>
        <w:rPr>
          <w:rFonts w:hint="eastAsia" w:ascii="仿宋" w:hAnsi="仿宋"/>
        </w:rPr>
        <w:t>以国家实施“中国制造2025”战略和“互联网+”行动计划为契机，推动产业链延伸、价值链提升和信息化改造，加快服务业与工农业协同发展、跨界发展、创新发展，特别要加快培育制造业和服务业双向深度融合的新型业态，形成产业竞争新优势。</w:t>
      </w:r>
    </w:p>
    <w:p>
      <w:pPr>
        <w:ind w:firstLine="643"/>
        <w:rPr>
          <w:rFonts w:ascii="仿宋" w:hAnsi="仿宋"/>
        </w:rPr>
      </w:pPr>
      <w:r>
        <w:rPr>
          <w:rFonts w:hint="eastAsia" w:ascii="仿宋" w:hAnsi="仿宋"/>
          <w:b/>
          <w:bCs/>
          <w:szCs w:val="32"/>
        </w:rPr>
        <w:t>——国际化战略。</w:t>
      </w:r>
      <w:r>
        <w:rPr>
          <w:rFonts w:hint="eastAsia" w:ascii="仿宋" w:hAnsi="仿宋"/>
        </w:rPr>
        <w:t>统筹国内国际两个市场、两种资源，建设服务贸易功能区，培育服务业大型跨国经营集团和领军企业，支持开展多种形式的国际化经营活动，鼓励参与国际标准制定和推动国际标准互认，加强国际交流与合作，推动中德（欧盟）服务业贸易投资自由化，构建与国际规则相衔接的服务业扩大开放基本框架。</w:t>
      </w:r>
    </w:p>
    <w:p>
      <w:pPr>
        <w:ind w:firstLine="643"/>
        <w:rPr>
          <w:rFonts w:ascii="仿宋" w:hAnsi="仿宋"/>
        </w:rPr>
      </w:pPr>
      <w:r>
        <w:rPr>
          <w:rFonts w:hint="eastAsia" w:ascii="仿宋" w:hAnsi="仿宋"/>
          <w:b/>
          <w:bCs/>
          <w:szCs w:val="32"/>
        </w:rPr>
        <w:t>——市场化战略。</w:t>
      </w:r>
      <w:r>
        <w:rPr>
          <w:rFonts w:hint="eastAsia" w:ascii="仿宋" w:hAnsi="仿宋"/>
        </w:rPr>
        <w:t>加快推进服务领域综合改革，支持引入负面清单机制，营造平等参与、公平竞争的发展环境。突出市场需求，引入社会资本，鼓励采用专业运营商模式，进一步挖掘和释放消费潜力、激发发展活力。</w:t>
      </w:r>
    </w:p>
    <w:p>
      <w:pPr>
        <w:pStyle w:val="2"/>
        <w:spacing w:before="156" w:after="156"/>
      </w:pPr>
      <w:bookmarkStart w:id="48" w:name="_Toc66112150"/>
      <w:bookmarkStart w:id="49" w:name="_Toc64966210"/>
      <w:bookmarkStart w:id="50" w:name="_Toc75367585"/>
      <w:bookmarkStart w:id="51" w:name="_Toc64966207"/>
      <w:bookmarkStart w:id="52" w:name="_Toc66112127"/>
      <w:r>
        <w:rPr>
          <w:rFonts w:hint="eastAsia"/>
        </w:rPr>
        <w:t>第三章 优化发展布局</w:t>
      </w:r>
      <w:bookmarkEnd w:id="48"/>
      <w:bookmarkEnd w:id="49"/>
      <w:r>
        <w:rPr>
          <w:rFonts w:hint="eastAsia"/>
        </w:rPr>
        <w:t>，实现产业空间集群化</w:t>
      </w:r>
      <w:bookmarkEnd w:id="50"/>
    </w:p>
    <w:p>
      <w:pPr>
        <w:spacing w:before="156" w:beforeLines="50" w:after="156" w:afterLines="50"/>
        <w:ind w:firstLine="640"/>
        <w:rPr>
          <w:szCs w:val="32"/>
        </w:rPr>
      </w:pPr>
      <w:bookmarkStart w:id="53" w:name="_Toc66112151"/>
      <w:bookmarkStart w:id="54" w:name="_Toc13483"/>
      <w:r>
        <w:rPr>
          <w:szCs w:val="32"/>
        </w:rPr>
        <w:t>揭东要牢牢抓住城乡融合发展省级试点的契机，围绕打造</w:t>
      </w:r>
      <w:r>
        <w:rPr>
          <w:rFonts w:ascii="仿宋" w:hAnsi="仿宋"/>
          <w:szCs w:val="32"/>
        </w:rPr>
        <w:t>“生态型、效益型”</w:t>
      </w:r>
      <w:r>
        <w:rPr>
          <w:szCs w:val="32"/>
        </w:rPr>
        <w:t>新型城镇化示范区的目标定位，依托工业企业集中和特色农产品的实际，</w:t>
      </w:r>
      <w:r>
        <w:rPr>
          <w:rFonts w:hint="eastAsia"/>
          <w:szCs w:val="32"/>
        </w:rPr>
        <w:t>以东西向产业强化、南北向特色联动发展策略，构建“一城三片，两平台四组团”的现代服务业发展格局。</w:t>
      </w:r>
    </w:p>
    <w:p>
      <w:pPr>
        <w:pStyle w:val="3"/>
      </w:pPr>
      <w:bookmarkStart w:id="55" w:name="_Toc75367586"/>
      <w:r>
        <w:rPr>
          <w:rFonts w:hint="eastAsia"/>
        </w:rPr>
        <w:t>第一节 发展曲溪、磐东城市消费中心</w:t>
      </w:r>
      <w:bookmarkEnd w:id="55"/>
    </w:p>
    <w:p>
      <w:pPr>
        <w:ind w:firstLine="640"/>
      </w:pPr>
      <w:r>
        <w:rPr>
          <w:rFonts w:hint="eastAsia" w:ascii="仿宋_GB2312"/>
          <w:szCs w:val="32"/>
        </w:rPr>
        <w:t>依托毗邻揭阳中心城区优势，大力发展城市经济，打造高品位小区、建设高标准市场、完善高品质配套。曲溪主城区主动融入市区核心区，发展多元化商业业态，大力发展新零售、新消费、新商业，构建布局合理、业态丰富的现代商业服务网络。磐东街道发挥“中国玉都”品牌效应，以玉文化特色产业带动商贸、旅游、休闲、居住等业态发展，进一步完善玉都城市功能，助推揭东西部全面融入市区核心区域发展的战略布局。</w:t>
      </w:r>
    </w:p>
    <w:p>
      <w:pPr>
        <w:pStyle w:val="3"/>
      </w:pPr>
      <w:bookmarkStart w:id="56" w:name="_Toc75367587"/>
      <w:r>
        <w:rPr>
          <w:rFonts w:hint="eastAsia"/>
        </w:rPr>
        <w:t>第二节 发展高铁新城现代商贸服务中心</w:t>
      </w:r>
      <w:bookmarkEnd w:id="56"/>
    </w:p>
    <w:p>
      <w:pPr>
        <w:ind w:firstLine="640"/>
      </w:pPr>
      <w:r>
        <w:rPr>
          <w:rFonts w:hint="eastAsia" w:ascii="仿宋" w:hAnsi="仿宋"/>
          <w:szCs w:val="30"/>
        </w:rPr>
        <w:t>发挥高铁新城作为</w:t>
      </w:r>
      <w:r>
        <w:rPr>
          <w:rFonts w:hint="eastAsia"/>
        </w:rPr>
        <w:t>揭阳北部综合交通枢纽优势，</w:t>
      </w:r>
      <w:r>
        <w:rPr>
          <w:rFonts w:hint="eastAsia" w:ascii="仿宋" w:hAnsi="仿宋"/>
          <w:szCs w:val="30"/>
        </w:rPr>
        <w:t>大力发展生产性和生活性服务业，建设轨道经济带，打造</w:t>
      </w:r>
      <w:r>
        <w:rPr>
          <w:rFonts w:hint="eastAsia"/>
        </w:rPr>
        <w:t>中心城区北部现代商贸服务中心</w:t>
      </w:r>
      <w:r>
        <w:rPr>
          <w:rFonts w:hint="eastAsia" w:ascii="仿宋" w:hAnsi="仿宋"/>
          <w:szCs w:val="30"/>
        </w:rPr>
        <w:t>。加快建设揭阳站片区“一心、一轴、一带、四组团”发展格局，以揭阳站站前交通服务和铁路文化公园休闲活动中心为核心形成的区域服务中心；沿进站大道及其延伸线形成的南北向发展轴，串联揭阳站综合服务中心、中部旅游休闲中心以及南部居住服务组团，形成以商业商务、文化休闲、金融会展为主的商业发展轴；沿规划保留的广梅汕铁路文化公园走廊绿化带，东联市中心，西接新亨，是城镇东西向城市发展带的重要组成部分；发展</w:t>
      </w:r>
      <w:r>
        <w:rPr>
          <w:rFonts w:ascii="仿宋" w:hAnsi="仿宋"/>
          <w:szCs w:val="30"/>
        </w:rPr>
        <w:t>交通枢纽功能组团、商贸商务功能组团、生活服务功能组团以及物流服</w:t>
      </w:r>
      <w:r>
        <w:rPr>
          <w:rFonts w:hint="eastAsia" w:ascii="仿宋" w:hAnsi="仿宋"/>
          <w:szCs w:val="30"/>
        </w:rPr>
        <w:t>务功能组团。</w:t>
      </w:r>
    </w:p>
    <w:p>
      <w:pPr>
        <w:pStyle w:val="3"/>
      </w:pPr>
      <w:bookmarkStart w:id="57" w:name="_Toc75367588"/>
      <w:r>
        <w:rPr>
          <w:rFonts w:hint="eastAsia"/>
        </w:rPr>
        <w:t>第三节 做强两大服务型制造核心平台</w:t>
      </w:r>
      <w:bookmarkEnd w:id="57"/>
    </w:p>
    <w:p>
      <w:pPr>
        <w:ind w:firstLine="640"/>
        <w:rPr>
          <w:rFonts w:ascii="仿宋" w:hAnsi="仿宋"/>
          <w:szCs w:val="30"/>
        </w:rPr>
      </w:pPr>
      <w:r>
        <w:rPr>
          <w:rFonts w:hint="eastAsia" w:ascii="仿宋" w:hAnsi="仿宋"/>
          <w:szCs w:val="30"/>
        </w:rPr>
        <w:t>加强两大园区示范引领作用，积极利用工业互联网等新一代信息技术赋能新制造、催生新服务，加快培育发展服务型制造新业态新模式，促进制造业提质增效和转型升级，为揭东制造升级做强提供有力支撑。</w:t>
      </w:r>
    </w:p>
    <w:p>
      <w:pPr>
        <w:ind w:firstLine="643"/>
      </w:pPr>
      <w:r>
        <w:rPr>
          <w:rFonts w:hint="eastAsia" w:ascii="仿宋" w:hAnsi="仿宋"/>
          <w:b/>
          <w:bCs/>
          <w:szCs w:val="32"/>
        </w:rPr>
        <w:t>揭东经济开发区。</w:t>
      </w:r>
      <w:r>
        <w:rPr>
          <w:rFonts w:hint="eastAsia"/>
        </w:rPr>
        <w:t>以建设成为国家级经济技术开发区、5G+工业互联网示范园区、汕潮揭都市圈内重要的高科技产业园区以及珠三角产业转移的首选之地为定位，发展壮大先进制造业、大健康产业等主导产业，培育发展高端电子信息、新材料、新能源等潜力产业，大力发展商贸物流、休闲旅游等配套产业，打造特色鲜明、产城融合、绿色生态的现代产业体系。完善园区基础设施配套，持续推进“一区三园”建设，推动揭东开发区创建国家级经济开发区、建设5G+工业互联网示范园区，打造揭东区东部重要的生态新区，成为集产业、生活、旅游于一体的产业新城。</w:t>
      </w:r>
    </w:p>
    <w:p>
      <w:pPr>
        <w:pStyle w:val="8"/>
        <w:ind w:firstLine="643"/>
      </w:pPr>
      <w:r>
        <w:rPr>
          <w:rFonts w:hint="eastAsia" w:ascii="仿宋" w:hAnsi="仿宋"/>
          <w:b/>
          <w:bCs/>
          <w:sz w:val="32"/>
          <w:szCs w:val="21"/>
        </w:rPr>
        <w:t>中德金属生态城。</w:t>
      </w:r>
      <w:r>
        <w:rPr>
          <w:rFonts w:hint="eastAsia"/>
        </w:rPr>
        <w:t>以中德（欧）开放合作示范区、循环经济示范园区、现代产业集聚区、产城融合典范区为发展目标，重点发展传统优势制造、先进装备制造、智能制造、节能环保四大制造业，配套生活居住、商业服务等产业，构建先进制造业、现代服务业和文化旅游业等产业发展体系。进一步理顺园区管理体制，完善规划修编，优化园区功能布局，完善北部片区生产性服务能力，打造中部片区品质生态小镇，完善南部片区生产生活配套，统筹完善园区5</w:t>
      </w:r>
      <w:r>
        <w:t>G</w:t>
      </w:r>
      <w:r>
        <w:rPr>
          <w:rFonts w:hint="eastAsia"/>
        </w:rPr>
        <w:t>配套、污水处理、道路交通、供热供气、消防救援站、绿化美化等重点基础设施建设。深化对德对欧合作，推动园区管理运营模式创新，重点提升园区中部、南部“四大中心”商务会展、生态休闲、宜居消费等服务功能，形成兼具生产、生活、商务功能的园区服务新模式。</w:t>
      </w:r>
    </w:p>
    <w:p>
      <w:pPr>
        <w:pStyle w:val="3"/>
      </w:pPr>
      <w:bookmarkStart w:id="58" w:name="_Toc75367589"/>
      <w:r>
        <w:rPr>
          <w:rFonts w:hint="eastAsia"/>
        </w:rPr>
        <w:t>第四节 优化城镇服务业特色发展组团</w:t>
      </w:r>
      <w:bookmarkEnd w:id="58"/>
    </w:p>
    <w:p>
      <w:pPr>
        <w:spacing w:line="540" w:lineRule="exact"/>
        <w:ind w:firstLine="643"/>
      </w:pPr>
      <w:r>
        <w:rPr>
          <w:rFonts w:hint="eastAsia" w:ascii="仿宋" w:hAnsi="仿宋"/>
          <w:b/>
          <w:bCs/>
          <w:szCs w:val="21"/>
        </w:rPr>
        <w:t>打造埔田、玉湖、白塔生态农业发展组团。</w:t>
      </w:r>
      <w:r>
        <w:rPr>
          <w:rFonts w:hint="eastAsia" w:ascii="仿宋_GB2312" w:hAnsi="仿宋_GB2312" w:cs="仿宋_GB2312"/>
        </w:rPr>
        <w:t>埔田镇依托竹笋省级现代农业产业园和农业产业强镇项目建设，推动特色农业、文化旅游产业融合高质量发展，打造市区东部生态后花园；玉湖镇以绿色生态发展为定位，积极做好山水保护，做强做大炒茶、芋头、淮山等特色农业，加快三产融合、美丽乡村建设和民生改善，努力打造“大美玉湖”；白塔镇以望天湖旅游景区和金花茶、白花油茶种植旅游观光基地为依托，大力发展乡村休闲旅游、康养、特色生态农业、现代农业物流配送等产业，打造市区西部生态后花园。</w:t>
      </w:r>
    </w:p>
    <w:p>
      <w:pPr>
        <w:spacing w:line="540" w:lineRule="exact"/>
        <w:ind w:firstLine="643"/>
        <w:rPr>
          <w:rFonts w:ascii="楷体" w:hAnsi="楷体" w:eastAsia="楷体"/>
          <w:b/>
          <w:bCs/>
        </w:rPr>
      </w:pPr>
      <w:r>
        <w:rPr>
          <w:rFonts w:hint="eastAsia" w:ascii="仿宋" w:hAnsi="仿宋"/>
          <w:b/>
          <w:bCs/>
        </w:rPr>
        <w:t>打造玉滘、云路、龙尾以园带镇发展组团。</w:t>
      </w:r>
      <w:r>
        <w:rPr>
          <w:rFonts w:hint="eastAsia"/>
        </w:rPr>
        <w:t>玉滘</w:t>
      </w:r>
      <w:r>
        <w:rPr>
          <w:rFonts w:hint="eastAsia" w:ascii="仿宋_GB2312" w:hAnsi="仿宋_GB2312" w:cs="仿宋_GB2312"/>
        </w:rPr>
        <w:t>镇抓好陶瓷产业园转型升级，发挥毗邻中德金属生态城的区位优势，大力引进、支持、推动高新技术产业发展，抓好规模以上企业的培育、发展、服务工作，支持推动企业上规模；云路镇坚持产业外移、工业入园发展战略，推动镇区功能提升和“退二进三”，通过聚集发展、集群发展提高效益，打造东部重要的产业和物流基地、生态文化旅游目的地；龙尾镇着力建设揭东特色油茶基地、揭阳产业转移工业园配套服务基地。</w:t>
      </w:r>
    </w:p>
    <w:p>
      <w:pPr>
        <w:spacing w:line="540" w:lineRule="exact"/>
        <w:ind w:firstLine="643"/>
        <w:rPr>
          <w:rFonts w:ascii="仿宋_GB2312" w:hAnsi="仿宋_GB2312" w:cs="仿宋_GB2312"/>
        </w:rPr>
      </w:pPr>
      <w:r>
        <w:rPr>
          <w:rFonts w:hint="eastAsia" w:ascii="仿宋" w:hAnsi="仿宋"/>
          <w:b/>
          <w:bCs/>
          <w:szCs w:val="21"/>
        </w:rPr>
        <w:t>打造锡场、新亨电商物流发展组团。</w:t>
      </w:r>
      <w:r>
        <w:rPr>
          <w:rFonts w:hint="eastAsia" w:ascii="仿宋" w:hAnsi="仿宋" w:cs="仿宋"/>
        </w:rPr>
        <w:t>推进</w:t>
      </w:r>
      <w:r>
        <w:rPr>
          <w:rFonts w:hint="eastAsia" w:ascii="仿宋_GB2312" w:hAnsi="仿宋_GB2312" w:cs="仿宋_GB2312"/>
        </w:rPr>
        <w:t>锡场镇食品、五金、塑料等传统产业转型升级和聚集发展，加快电商特色小镇建设步伐，构筑电商生态圈和“双创”基地，打造商贸中心。新亨镇扎实推进韵达粤东（揭阳）快递电商总部基地项目、中通快递西岗物流项目等重点项目建设，尽快启动北区房地产项目建设，加快建设产城融合高质发展的揭阳物流总部基地。</w:t>
      </w:r>
    </w:p>
    <w:p>
      <w:pPr>
        <w:pStyle w:val="8"/>
        <w:spacing w:line="540" w:lineRule="exact"/>
        <w:ind w:firstLine="643"/>
        <w:rPr>
          <w:rFonts w:ascii="仿宋_GB2312" w:hAnsi="仿宋_GB2312" w:cs="仿宋_GB2312"/>
          <w:sz w:val="32"/>
          <w:szCs w:val="21"/>
        </w:rPr>
      </w:pPr>
      <w:r>
        <w:rPr>
          <w:rFonts w:hint="eastAsia" w:ascii="仿宋" w:hAnsi="仿宋"/>
          <w:b/>
          <w:bCs/>
          <w:sz w:val="32"/>
          <w:szCs w:val="21"/>
        </w:rPr>
        <w:t>打造霖磐、月城、桂岭宜居宜业宜游发展组团。</w:t>
      </w:r>
      <w:r>
        <w:rPr>
          <w:rFonts w:hint="eastAsia" w:ascii="仿宋_GB2312" w:hAnsi="仿宋_GB2312" w:cs="仿宋_GB2312"/>
          <w:sz w:val="32"/>
          <w:szCs w:val="21"/>
        </w:rPr>
        <w:t>以霖磐镇为中心，强化城镇规划，加快镇区“三旧”改造步伐，打造西部“商贸宜居中心”，发挥西部区域中心辐射效应，带动桂岭镇快速发展。桂岭镇重点招引高效农业项目、休闲旅游项目、建筑开发项目，把经济发展与推进旅游业发展有机结合，着力打造“农业稳镇、教育强镇、旅游旺镇、生态名镇”。月城镇推动五金不锈钢等产业转型升级，接受霖磐镇辐射带动、协同发展。</w:t>
      </w:r>
    </w:p>
    <w:bookmarkEnd w:id="53"/>
    <w:bookmarkEnd w:id="54"/>
    <w:p>
      <w:pPr>
        <w:pStyle w:val="2"/>
        <w:spacing w:before="156" w:after="156"/>
      </w:pPr>
      <w:bookmarkStart w:id="59" w:name="_Toc75367590"/>
      <w:r>
        <w:rPr>
          <w:rFonts w:hint="eastAsia"/>
        </w:rPr>
        <w:t>第四章 锻造关键链条，助推产业体系</w:t>
      </w:r>
      <w:bookmarkEnd w:id="51"/>
      <w:bookmarkEnd w:id="52"/>
      <w:r>
        <w:rPr>
          <w:rFonts w:hint="eastAsia"/>
        </w:rPr>
        <w:t>现代化</w:t>
      </w:r>
      <w:bookmarkEnd w:id="59"/>
    </w:p>
    <w:p>
      <w:pPr>
        <w:ind w:firstLine="640"/>
      </w:pPr>
      <w:r>
        <w:rPr>
          <w:rFonts w:hint="eastAsia"/>
        </w:rPr>
        <w:t>推动生产性服务业向专业化和价值链高端延伸，加快生活性服务业向精细化和高品质转变，创新发展新兴服务业，促进服务业跨界融合发展，打造创新智慧揭东、魅力人居揭东。</w:t>
      </w:r>
    </w:p>
    <w:p>
      <w:pPr>
        <w:pStyle w:val="3"/>
      </w:pPr>
      <w:bookmarkStart w:id="60" w:name="_Toc75367591"/>
      <w:bookmarkStart w:id="61" w:name="_Toc66112128"/>
      <w:r>
        <w:rPr>
          <w:rFonts w:hint="eastAsia"/>
        </w:rPr>
        <w:t>第一节 重点发展生产性服务业</w:t>
      </w:r>
      <w:bookmarkEnd w:id="60"/>
    </w:p>
    <w:bookmarkEnd w:id="61"/>
    <w:p>
      <w:pPr>
        <w:pStyle w:val="4"/>
        <w:ind w:firstLine="643"/>
      </w:pPr>
      <w:bookmarkStart w:id="62" w:name="_Toc66112130"/>
      <w:r>
        <w:rPr>
          <w:rFonts w:hint="eastAsia"/>
        </w:rPr>
        <w:t>一、电子商务</w:t>
      </w:r>
      <w:bookmarkEnd w:id="62"/>
    </w:p>
    <w:p>
      <w:pPr>
        <w:ind w:firstLine="602"/>
        <w:rPr>
          <w:rFonts w:ascii="仿宋" w:hAnsi="仿宋"/>
          <w:b/>
          <w:bCs/>
          <w:sz w:val="30"/>
        </w:rPr>
      </w:pPr>
      <w:r>
        <w:rPr>
          <w:rFonts w:hint="eastAsia" w:ascii="仿宋" w:hAnsi="仿宋"/>
          <w:b/>
          <w:bCs/>
          <w:sz w:val="30"/>
        </w:rPr>
        <w:t>（一）定位和目标</w:t>
      </w:r>
    </w:p>
    <w:p>
      <w:pPr>
        <w:ind w:firstLine="640"/>
        <w:rPr>
          <w:rFonts w:cs="方正仿宋简体"/>
          <w:kern w:val="0"/>
          <w:szCs w:val="32"/>
        </w:rPr>
      </w:pPr>
      <w:r>
        <w:rPr>
          <w:rFonts w:hint="eastAsia" w:cs="方正仿宋简体"/>
          <w:kern w:val="0"/>
          <w:szCs w:val="32"/>
        </w:rPr>
        <w:t>以发展电子商务平台经济为重点，力争创建国家电子商务示范基地。到202</w:t>
      </w:r>
      <w:r>
        <w:rPr>
          <w:rFonts w:cs="方正仿宋简体"/>
          <w:kern w:val="0"/>
          <w:szCs w:val="32"/>
        </w:rPr>
        <w:t>5</w:t>
      </w:r>
      <w:r>
        <w:rPr>
          <w:rFonts w:hint="eastAsia" w:cs="方正仿宋简体"/>
          <w:kern w:val="0"/>
          <w:szCs w:val="32"/>
        </w:rPr>
        <w:t>年，力争全区电子商务交易额突破600亿元，年均增长12%以上，培育创新型电子商务企业50家以上、电子商务示范企业100家以上。</w:t>
      </w:r>
    </w:p>
    <w:p>
      <w:pPr>
        <w:ind w:firstLine="602"/>
        <w:rPr>
          <w:rFonts w:ascii="仿宋" w:hAnsi="仿宋"/>
          <w:b/>
          <w:bCs/>
          <w:sz w:val="30"/>
        </w:rPr>
      </w:pPr>
      <w:r>
        <w:rPr>
          <w:rFonts w:hint="eastAsia" w:ascii="仿宋" w:hAnsi="仿宋"/>
          <w:b/>
          <w:bCs/>
          <w:sz w:val="30"/>
        </w:rPr>
        <w:t>（二）发展重点</w:t>
      </w:r>
    </w:p>
    <w:p>
      <w:pPr>
        <w:ind w:firstLine="643"/>
      </w:pPr>
      <w:r>
        <w:rPr>
          <w:rFonts w:hint="eastAsia" w:ascii="仿宋" w:hAnsi="仿宋"/>
          <w:b/>
          <w:bCs/>
          <w:szCs w:val="32"/>
        </w:rPr>
        <w:t>支持电子商务加速发展。</w:t>
      </w:r>
      <w:r>
        <w:rPr>
          <w:rFonts w:hint="eastAsia"/>
        </w:rPr>
        <w:t>培育发展应用电子商务，重点发展电子商务平台、跨境跨区电商服务、电子认证、电子交易市场、定制服务等业态，推动电子商务与智能制造、个性化定制、现代农业集群等领域融合合作。推动传统电商向现代电商发展，积极发展“新零售”“社交电商”等新电商模式。全力打造“大军埔电商圈”，加快电子商务创业孵化基地和军埔（新亨）电商创意园建设，完善电子商务培训中心、孵化中心、物流基地等基础设施，推动“电商经济”向镇村企业拓展延伸、做强做大，打造电子商务全产业链发展高地。推动电商供给侧结构性改革，完善军埔服装等电商产品设计、原料供应、生产加工、包装配送等链条，拓展军埔电商产品新种类，引导树立品牌意识，提升市场竞争力。大力发展跨境电商，推进米仓供应链广东省揭阳市智慧电商、跨境电商、区域分销枢纽营运中心建设，进一步推进跨境电子商务发展，助力传统外贸企业转型跨境电商。</w:t>
      </w:r>
    </w:p>
    <w:p>
      <w:pPr>
        <w:ind w:firstLine="643"/>
      </w:pPr>
      <w:r>
        <w:rPr>
          <w:rFonts w:hint="eastAsia" w:ascii="仿宋" w:hAnsi="仿宋"/>
          <w:b/>
          <w:bCs/>
          <w:szCs w:val="32"/>
        </w:rPr>
        <w:t>做优做强电子商务载体。</w:t>
      </w:r>
      <w:r>
        <w:rPr>
          <w:rFonts w:hint="eastAsia"/>
        </w:rPr>
        <w:t>依托军埔镇电商产业圈、高铁新城，建设多功能电子商务众创空间、产业园区、专业楼宇等载体，合理布局电子商务产业区、电子商务物流区、电子商务交易体验区、综合配套区等四大功能模板。积极引进知名电子商务企业区域总部、服务中心和运营中心，培育一批在国内具有影响力和发展潜力的重点电子商务企业。积极支持B2B、B2C等各类大型电子商务平台，在食品饮料、服装、农产品等领域发展一批具有产业特色的行业领先垂直电子商务平台。</w:t>
      </w:r>
    </w:p>
    <w:p>
      <w:pPr>
        <w:ind w:firstLine="643"/>
      </w:pPr>
      <w:r>
        <w:rPr>
          <w:rFonts w:hint="eastAsia" w:ascii="仿宋" w:hAnsi="仿宋"/>
          <w:b/>
          <w:bCs/>
          <w:szCs w:val="32"/>
        </w:rPr>
        <w:t>优化电子商务发展环境。</w:t>
      </w:r>
      <w:r>
        <w:rPr>
          <w:rFonts w:hint="eastAsia"/>
        </w:rPr>
        <w:t>围绕建设电子商务生态圈，加快发展电子商务运营管理、软件开发、营销推广、仓储管理、视频美工等电子商务配套产业。建立电子商务创业创新项目库，开展系统性电子商务人才培训。建立健全面向中小电子商务企业的公共投融资担保平台、孵化平台等电子商务公共服务平台，扩大电子商务基本公共服务的覆盖范围。加强网络基础设施建设，提升电子商务支撑保障水平。加快完善电商公共服务体系，促进制造业企业电子商务与快递物流融合发展。</w:t>
      </w:r>
    </w:p>
    <w:p>
      <w:pPr>
        <w:pStyle w:val="4"/>
        <w:ind w:firstLine="643"/>
      </w:pPr>
      <w:bookmarkStart w:id="63" w:name="_Toc66112131"/>
      <w:r>
        <w:rPr>
          <w:rFonts w:hint="eastAsia"/>
        </w:rPr>
        <w:t>二、</w:t>
      </w:r>
      <w:bookmarkEnd w:id="63"/>
      <w:r>
        <w:rPr>
          <w:rFonts w:hint="eastAsia"/>
        </w:rPr>
        <w:t>现代物流</w:t>
      </w:r>
    </w:p>
    <w:p>
      <w:pPr>
        <w:ind w:firstLine="643"/>
        <w:rPr>
          <w:rFonts w:cs="方正仿宋简体"/>
          <w:b/>
          <w:bCs/>
          <w:kern w:val="0"/>
          <w:szCs w:val="32"/>
        </w:rPr>
      </w:pPr>
      <w:r>
        <w:rPr>
          <w:rFonts w:hint="eastAsia" w:cs="方正仿宋简体"/>
          <w:b/>
          <w:bCs/>
          <w:kern w:val="0"/>
          <w:szCs w:val="32"/>
        </w:rPr>
        <w:t>（一）定位和目标</w:t>
      </w:r>
    </w:p>
    <w:p>
      <w:pPr>
        <w:ind w:firstLine="640"/>
        <w:rPr>
          <w:rFonts w:cs="方正仿宋简体"/>
          <w:kern w:val="0"/>
          <w:szCs w:val="32"/>
        </w:rPr>
      </w:pPr>
      <w:r>
        <w:rPr>
          <w:rFonts w:hint="eastAsia" w:cs="方正仿宋简体"/>
          <w:kern w:val="0"/>
          <w:szCs w:val="32"/>
        </w:rPr>
        <w:t>推动物流运输结构调整优化，筑开放式物流网络体系，建设超百亿级现代物流业集群，打造区域商贸流通中心。到202</w:t>
      </w:r>
      <w:r>
        <w:rPr>
          <w:rFonts w:cs="方正仿宋简体"/>
          <w:kern w:val="0"/>
          <w:szCs w:val="32"/>
        </w:rPr>
        <w:t>5</w:t>
      </w:r>
      <w:r>
        <w:rPr>
          <w:rFonts w:hint="eastAsia" w:cs="方正仿宋简体"/>
          <w:kern w:val="0"/>
          <w:szCs w:val="32"/>
        </w:rPr>
        <w:t>年，力争将揭东建成具有物流服务创新功能的物流枢纽城市，物流业增加值达到1</w:t>
      </w:r>
      <w:r>
        <w:rPr>
          <w:rFonts w:cs="方正仿宋简体"/>
          <w:kern w:val="0"/>
          <w:szCs w:val="32"/>
        </w:rPr>
        <w:t>00</w:t>
      </w:r>
      <w:r>
        <w:rPr>
          <w:rFonts w:hint="eastAsia" w:cs="方正仿宋简体"/>
          <w:kern w:val="0"/>
          <w:szCs w:val="32"/>
        </w:rPr>
        <w:t>亿元，占GDP比重达10.5%左右。</w:t>
      </w:r>
    </w:p>
    <w:p>
      <w:pPr>
        <w:ind w:firstLine="643"/>
        <w:rPr>
          <w:b/>
          <w:bCs/>
        </w:rPr>
      </w:pPr>
      <w:r>
        <w:rPr>
          <w:rFonts w:hint="eastAsia"/>
          <w:b/>
          <w:bCs/>
        </w:rPr>
        <w:t>（二）重点任务</w:t>
      </w:r>
    </w:p>
    <w:p>
      <w:pPr>
        <w:ind w:firstLine="643"/>
      </w:pPr>
      <w:r>
        <w:rPr>
          <w:rFonts w:hint="eastAsia" w:ascii="仿宋" w:hAnsi="仿宋"/>
          <w:b/>
          <w:bCs/>
          <w:szCs w:val="32"/>
        </w:rPr>
        <w:t>推动物流服务业态发展和模式创新。</w:t>
      </w:r>
      <w:r>
        <w:rPr>
          <w:rFonts w:hint="eastAsia"/>
        </w:rPr>
        <w:t>做大做强冷链物流、快递物流和电商物流产业，坚持国际化、高端化、绿色化、智能化、融合化发展方向，推进物流标准化、智能化，创新技术业态模式，推动物流降本增效。鼓励企业利用现代技术手段，发展“互联网+物流”新模式，加强物流信息平台建设，支持智能仓储、机器人、车载及手持终端等装备技术在物流仓储、运输、配送等全流程的应用，全面提升物流运行效率和服务水平。鼓励物流企业通过资本运作，实现行业整合与跨界融合发展。实施物流标准化工程，鼓励重点物流企业参与物流技术标准和服务规范的制定，积极推进与国际通行标准对接。</w:t>
      </w:r>
    </w:p>
    <w:p>
      <w:pPr>
        <w:ind w:firstLine="643"/>
      </w:pPr>
      <w:r>
        <w:rPr>
          <w:rFonts w:hint="eastAsia" w:ascii="仿宋" w:hAnsi="仿宋"/>
          <w:b/>
          <w:bCs/>
          <w:szCs w:val="32"/>
        </w:rPr>
        <w:t>打造供应链服务中心。</w:t>
      </w:r>
      <w:r>
        <w:rPr>
          <w:rFonts w:hint="eastAsia"/>
        </w:rPr>
        <w:t>推进韵达、中通、圆通、京东等粤东物流总部基地项目建设，引进运输、快递、仓储、货运代理等物流龙头企业，形成集中转、仓储、配送及冷链于一体的现代物流枢纽中心。鼓励物流业务向供应链上下游延伸，推动物流业由服务产业发展为主向生产组织为主转变，积极吸引国际物流企业区域功能总部落户揭东，支持本地物流领军企业向总部业态转型升级，增强供应链管理服务功能，力争将揭东打造成为集物流控制、信息、结算、专业服务于一体的供应链服务中心。</w:t>
      </w:r>
    </w:p>
    <w:p>
      <w:pPr>
        <w:ind w:firstLine="643"/>
      </w:pPr>
      <w:r>
        <w:rPr>
          <w:rFonts w:hint="eastAsia" w:ascii="仿宋" w:hAnsi="仿宋"/>
          <w:b/>
          <w:bCs/>
          <w:szCs w:val="32"/>
        </w:rPr>
        <w:t>加强物流功能支撑体系建设。</w:t>
      </w:r>
      <w:r>
        <w:rPr>
          <w:rFonts w:hint="eastAsia"/>
        </w:rPr>
        <w:t>促进传统物流园区转型升级，推动物流企业和金融保险、信息服务等配套企业融合发展，构建功能完善、便捷高效的物流平台网络。加快推进城市共同配送体系建设，合理布局物流分拨中心、公共配送中心和末端配送站点三级网络，鼓励发展智能快件箱、冷链储藏柜、代收服务点等新型社区化配送模式。</w:t>
      </w:r>
    </w:p>
    <w:p>
      <w:pPr>
        <w:ind w:firstLine="643"/>
      </w:pPr>
      <w:r>
        <w:rPr>
          <w:rFonts w:hint="eastAsia" w:ascii="仿宋" w:hAnsi="仿宋"/>
          <w:b/>
          <w:bCs/>
          <w:szCs w:val="32"/>
        </w:rPr>
        <w:t>增强物流枢纽辐射带动能力。</w:t>
      </w:r>
      <w:r>
        <w:rPr>
          <w:rFonts w:hint="eastAsia"/>
        </w:rPr>
        <w:t>围绕梅汕高铁揭阳站和揭阳至惠来铁路新亨站、霖磐站等综合交通枢纽优势，布局商贸物流业，建设完善物流空间网络体系，完善“总部+销售+结算”链条，推动物流、电商和制造业融合发展。积极开展同海西经济区、粤东城市群、大湾区货运代理企业、物流枢纽地区协作，拓展中国-东盟等</w:t>
      </w:r>
      <w:r>
        <w:rPr>
          <w:rFonts w:hint="eastAsia"/>
          <w:lang w:eastAsia="zh-CN"/>
        </w:rPr>
        <w:t>“</w:t>
      </w:r>
      <w:r>
        <w:rPr>
          <w:rFonts w:hint="eastAsia"/>
        </w:rPr>
        <w:t>一带一路</w:t>
      </w:r>
      <w:r>
        <w:rPr>
          <w:rFonts w:hint="eastAsia"/>
          <w:lang w:eastAsia="zh-CN"/>
        </w:rPr>
        <w:t>”</w:t>
      </w:r>
      <w:r>
        <w:rPr>
          <w:rFonts w:hint="eastAsia"/>
        </w:rPr>
        <w:t>主要物流通道，促进区域物流一体化发展，加快发展适应国际中转、国际采购、国际配送、国际转口贸易业务要求的国际物流业务，构建覆盖粤东北、服务大湾区、辐射国内国际的物流服务网络，打造海西经济区、粤东北、大湾区、一带一路重要物流集散地。</w:t>
      </w:r>
    </w:p>
    <w:p>
      <w:pPr>
        <w:pStyle w:val="4"/>
        <w:ind w:firstLine="643"/>
      </w:pPr>
      <w:bookmarkStart w:id="64" w:name="_Toc66112132"/>
      <w:r>
        <w:rPr>
          <w:rFonts w:hint="eastAsia"/>
        </w:rPr>
        <w:t>三、金融服务</w:t>
      </w:r>
      <w:bookmarkEnd w:id="64"/>
    </w:p>
    <w:p>
      <w:pPr>
        <w:ind w:firstLine="643"/>
        <w:rPr>
          <w:rFonts w:cs="方正仿宋简体"/>
          <w:b/>
          <w:bCs/>
          <w:kern w:val="0"/>
          <w:szCs w:val="32"/>
        </w:rPr>
      </w:pPr>
      <w:r>
        <w:rPr>
          <w:rFonts w:hint="eastAsia" w:cs="方正仿宋简体"/>
          <w:b/>
          <w:bCs/>
          <w:kern w:val="0"/>
          <w:szCs w:val="32"/>
        </w:rPr>
        <w:t>（一）定位和目标</w:t>
      </w:r>
    </w:p>
    <w:p>
      <w:pPr>
        <w:ind w:firstLine="640"/>
      </w:pPr>
      <w:r>
        <w:rPr>
          <w:rFonts w:hint="eastAsia" w:cs="方正仿宋简体"/>
          <w:kern w:val="0"/>
          <w:szCs w:val="32"/>
        </w:rPr>
        <w:t>充分发挥金融业对产业发展和城市建设的支撑作用，力争打造揭阳东北部金融重心。</w:t>
      </w:r>
      <w:bookmarkStart w:id="65" w:name="_Hlk95318705"/>
      <w:r>
        <w:rPr>
          <w:rFonts w:hint="eastAsia" w:cs="方正仿宋简体"/>
          <w:kern w:val="0"/>
          <w:szCs w:val="32"/>
        </w:rPr>
        <w:t>到202</w:t>
      </w:r>
      <w:r>
        <w:rPr>
          <w:rFonts w:cs="方正仿宋简体"/>
          <w:kern w:val="0"/>
          <w:szCs w:val="32"/>
        </w:rPr>
        <w:t>5</w:t>
      </w:r>
      <w:r>
        <w:rPr>
          <w:rFonts w:hint="eastAsia" w:cs="方正仿宋简体"/>
          <w:kern w:val="0"/>
          <w:szCs w:val="32"/>
        </w:rPr>
        <w:t>年，金融业增加值占服务业增加值比重达到</w:t>
      </w:r>
      <w:r>
        <w:rPr>
          <w:rFonts w:cs="方正仿宋简体"/>
          <w:kern w:val="0"/>
          <w:szCs w:val="32"/>
        </w:rPr>
        <w:t>6.7</w:t>
      </w:r>
      <w:r>
        <w:rPr>
          <w:rFonts w:hint="eastAsia" w:cs="方正仿宋简体"/>
          <w:kern w:val="0"/>
          <w:szCs w:val="32"/>
        </w:rPr>
        <w:t>%、占地区生产总值比重达到</w:t>
      </w:r>
      <w:r>
        <w:rPr>
          <w:rFonts w:cs="方正仿宋简体"/>
          <w:kern w:val="0"/>
          <w:szCs w:val="32"/>
        </w:rPr>
        <w:t>4</w:t>
      </w:r>
      <w:r>
        <w:rPr>
          <w:rFonts w:hint="eastAsia" w:cs="方正仿宋简体"/>
          <w:kern w:val="0"/>
          <w:szCs w:val="32"/>
        </w:rPr>
        <w:t>%，</w:t>
      </w:r>
      <w:bookmarkEnd w:id="65"/>
      <w:r>
        <w:rPr>
          <w:rFonts w:hint="eastAsia" w:cs="方正仿宋简体"/>
          <w:kern w:val="0"/>
          <w:szCs w:val="32"/>
        </w:rPr>
        <w:t>基本形成具有多种融资平台、具备多种金融交易工具的多层次金融市场体系。</w:t>
      </w:r>
    </w:p>
    <w:p>
      <w:pPr>
        <w:ind w:firstLine="643"/>
        <w:rPr>
          <w:b/>
          <w:bCs/>
        </w:rPr>
      </w:pPr>
      <w:r>
        <w:rPr>
          <w:rFonts w:hint="eastAsia"/>
          <w:b/>
          <w:bCs/>
        </w:rPr>
        <w:t>（二）重点任务</w:t>
      </w:r>
    </w:p>
    <w:p>
      <w:pPr>
        <w:ind w:firstLine="643"/>
      </w:pPr>
      <w:r>
        <w:rPr>
          <w:rFonts w:hint="eastAsia" w:ascii="仿宋" w:hAnsi="仿宋"/>
          <w:b/>
          <w:bCs/>
          <w:szCs w:val="32"/>
        </w:rPr>
        <w:t>完善现代金融组织体系。</w:t>
      </w:r>
      <w:r>
        <w:rPr>
          <w:rFonts w:hint="eastAsia"/>
        </w:rPr>
        <w:t>加快完善银行、保险、信托、证券等各类金融组织，做优做强地方法人金融机构，推动银行业务创新，深化保险资金运用，加快推进股权、债权、资产证券化等多元化发展。引导金融服务实体经济，支持引导银行机构加大对优势行业的中长期信贷支持，健全金、政、企合作长效机制。引进和培育各类征信机构，引导建立科技企业信用评价标准，设立信用促进专业协会，加快区域科技信用服务体系建设。加强行业监管和风险防控，积极防范和打击各类金融犯罪活动，维护金融市场秩序。健全现代乡村金融服务体系，强化农合机构主主力军作用，发挥商业银行业务优势，服务农户生产经营，加大涉农资金投放。</w:t>
      </w:r>
    </w:p>
    <w:p>
      <w:pPr>
        <w:ind w:firstLine="643"/>
      </w:pPr>
      <w:r>
        <w:rPr>
          <w:rFonts w:hint="eastAsia" w:ascii="仿宋" w:hAnsi="仿宋"/>
          <w:b/>
          <w:bCs/>
          <w:szCs w:val="32"/>
        </w:rPr>
        <w:t>积极推进多层次资本市场建设。</w:t>
      </w:r>
      <w:r>
        <w:rPr>
          <w:rFonts w:hint="eastAsia"/>
        </w:rPr>
        <w:t>促进企业上市融资做大做强。加强分类指导培育，加大政策扶持力度，统筹规划主板、中小板、创业板、“新三板”推动更多企业直接上市融资，引导企业多渠道、多形式上市融资。积极发掘有潜力的企业，培育和扩大优质企业上市、挂牌后备资源；大力促进股权投资市场发展，做实做精股权融资业务，平稳开展交易转让业务，规范发展可转债业务，认真做好登记托管服务，积极发展合格投资者，全面落实监管责任，切实防范化解风险。</w:t>
      </w:r>
    </w:p>
    <w:p>
      <w:pPr>
        <w:ind w:firstLine="643"/>
      </w:pPr>
      <w:r>
        <w:rPr>
          <w:rFonts w:hint="eastAsia" w:ascii="仿宋" w:hAnsi="仿宋"/>
          <w:b/>
          <w:bCs/>
          <w:szCs w:val="32"/>
        </w:rPr>
        <w:t>大力发展科技金融。</w:t>
      </w:r>
      <w:r>
        <w:rPr>
          <w:rFonts w:hint="eastAsia" w:cs="方正仿宋简体"/>
          <w:kern w:val="0"/>
          <w:szCs w:val="32"/>
        </w:rPr>
        <w:t>鼓励设立私募股权基金、风险投资基金和产业基金，积极引进天使投资人，壮大创业投资和政府创业投资引导基金规模，强化对种子期、初创期创业企业的直接融资支持。支持服务业企业运用发行债券、股权融资、投贷联动、融资租赁等方式筹集资金。支持各类证券服务机构、评估机构等集聚发展，鼓励金融机构设立科技支行，创新金融科技产品和融资服务。强化区域金融合作，深入推进与天府国际基金小镇、盈创动力等金融服务平台之间的战略合作。</w:t>
      </w:r>
    </w:p>
    <w:p>
      <w:pPr>
        <w:ind w:firstLine="643"/>
      </w:pPr>
      <w:r>
        <w:rPr>
          <w:rFonts w:hint="eastAsia" w:ascii="仿宋" w:hAnsi="仿宋"/>
          <w:b/>
          <w:bCs/>
          <w:szCs w:val="32"/>
        </w:rPr>
        <w:t>促进产融结合与共生发展。</w:t>
      </w:r>
      <w:r>
        <w:rPr>
          <w:rFonts w:hint="eastAsia"/>
        </w:rPr>
        <w:t>深入开展金融暖企行动，全面落实省、市扶持实体经济政策措施，降低企业融资成本，缓解企业融资难问题；持续开展“金融走进”</w:t>
      </w:r>
      <w:r>
        <w:rPr>
          <w:rStyle w:val="28"/>
        </w:rPr>
        <w:footnoteReference w:id="1"/>
      </w:r>
      <w:r>
        <w:rPr>
          <w:rFonts w:hint="eastAsia"/>
        </w:rPr>
        <w:t>活动，建立贷款客户“白名单”制度，加快完善政银企交流平台，畅通企业融资渠道；</w:t>
      </w:r>
      <w:r>
        <w:rPr>
          <w:rFonts w:hint="eastAsia" w:ascii="仿宋" w:hAnsi="仿宋"/>
          <w:szCs w:val="32"/>
        </w:rPr>
        <w:t>支持企业加快</w:t>
      </w:r>
      <w:r>
        <w:rPr>
          <w:rFonts w:ascii="仿宋" w:hAnsi="仿宋"/>
          <w:szCs w:val="32"/>
        </w:rPr>
        <w:t>上市、</w:t>
      </w:r>
      <w:r>
        <w:rPr>
          <w:rFonts w:hint="eastAsia" w:ascii="仿宋" w:hAnsi="仿宋"/>
          <w:szCs w:val="32"/>
        </w:rPr>
        <w:t>挂牌步伐，完善企业融资对接协调机制，重点为我区确定的梁柱企业提供综合性金融服务；</w:t>
      </w:r>
      <w:r>
        <w:rPr>
          <w:rFonts w:hint="eastAsia"/>
        </w:rPr>
        <w:t>抓好小额贷款保证保险业务，培育壮大小额贷款、融资担保、典当行、融资租赁等金融机构，发挥地方小微金融补充作用。扶持中小微企业发展，继续深入开展中小微企业贷款风险补偿，落实好“减税降费”政策，充分发挥政府性担保体系的作用，继续不断强化对中小微、三农等薄弱环节的支持。</w:t>
      </w:r>
    </w:p>
    <w:p>
      <w:pPr>
        <w:pStyle w:val="4"/>
        <w:ind w:firstLine="643"/>
      </w:pPr>
      <w:bookmarkStart w:id="66" w:name="_Toc66112129"/>
      <w:r>
        <w:rPr>
          <w:rFonts w:hint="eastAsia"/>
        </w:rPr>
        <w:t>四、科技服务</w:t>
      </w:r>
    </w:p>
    <w:p>
      <w:pPr>
        <w:ind w:firstLine="643"/>
        <w:rPr>
          <w:b/>
          <w:bCs/>
        </w:rPr>
      </w:pPr>
      <w:r>
        <w:rPr>
          <w:rFonts w:hint="eastAsia"/>
          <w:b/>
          <w:bCs/>
        </w:rPr>
        <w:t>（一）定位和目标</w:t>
      </w:r>
    </w:p>
    <w:p>
      <w:pPr>
        <w:ind w:firstLine="640"/>
      </w:pPr>
      <w:r>
        <w:rPr>
          <w:rFonts w:hint="eastAsia"/>
        </w:rPr>
        <w:t>培育和壮大科技服务市场主体，创新科技服务模式，延展科技创新服务链，促进科技服务业专业化、网络化、规模化发展，为揭东建设粤东工业科技、产业创新高地提供有力支撑。到202</w:t>
      </w:r>
      <w:r>
        <w:t>5</w:t>
      </w:r>
      <w:r>
        <w:rPr>
          <w:rFonts w:hint="eastAsia"/>
        </w:rPr>
        <w:t>年，科技服务市场化水平和国际竞争力明显提升，基本形成覆盖科技创新全链条的科技服务体系，全社会研发支出占GDP比重达</w:t>
      </w:r>
      <w:r>
        <w:t>1</w:t>
      </w:r>
      <w:r>
        <w:rPr>
          <w:rFonts w:hint="eastAsia"/>
        </w:rPr>
        <w:t>.25%。</w:t>
      </w:r>
    </w:p>
    <w:p>
      <w:pPr>
        <w:ind w:firstLine="643"/>
        <w:rPr>
          <w:b/>
          <w:bCs/>
        </w:rPr>
      </w:pPr>
      <w:r>
        <w:rPr>
          <w:rFonts w:hint="eastAsia"/>
          <w:b/>
          <w:bCs/>
        </w:rPr>
        <w:t>（二）重点任务</w:t>
      </w:r>
    </w:p>
    <w:p>
      <w:pPr>
        <w:ind w:firstLine="643"/>
      </w:pPr>
      <w:r>
        <w:rPr>
          <w:rFonts w:hint="eastAsia" w:ascii="仿宋" w:hAnsi="仿宋"/>
          <w:b/>
          <w:bCs/>
          <w:szCs w:val="32"/>
        </w:rPr>
        <w:t>大力发展研究开发和技术转移服务。</w:t>
      </w:r>
      <w:r>
        <w:rPr>
          <w:rFonts w:hint="eastAsia"/>
        </w:rPr>
        <w:t>鼓励研发类企业专业化发展，支持高校、科研院所整合科研资源，提供面向市场的专业研发服务，积极培育市场化新型研发组织、研发中介和研发服务外包新业态，支持产业联盟开展协同创新，推动产业技术研发机构面向产业集群开展共性技术研发。依托广东省塑胶及金属制品智能制造区域创新中心、中国长城（广东揭阳）信创产业基地、揭阳市聚鲶工业科技、科赫集团合作等项目，加快建立龙头企业与中小企业互动发展机制，支持龙头企业通过产业纽带、上下游配套、分工协作和共性技术服务等带动中小企业发展，推动产业链向高端跃升。鼓励技术转移机构创新服务模式，推动技术交易市场做大做强，充分发挥高交会等展会在推动技术转移中的作用，建立企业、科研院所、高校良性互动机制，促进科技成果加速转移转化。</w:t>
      </w:r>
    </w:p>
    <w:p>
      <w:pPr>
        <w:ind w:firstLine="643"/>
      </w:pPr>
      <w:r>
        <w:rPr>
          <w:rFonts w:hint="eastAsia" w:ascii="仿宋" w:hAnsi="仿宋"/>
          <w:b/>
          <w:bCs/>
          <w:szCs w:val="32"/>
        </w:rPr>
        <w:t>鼓励发展创业孵化服务。</w:t>
      </w:r>
      <w:r>
        <w:rPr>
          <w:rFonts w:hint="eastAsia"/>
        </w:rPr>
        <w:t>引导企业、社会资本参与投资建设孵化器，推广“孵化+创投”等孵化模式，构建以专业孵化器和创新型孵化器为重点、综合孵化器为支撑的创业孵化生态体系，积极探索基于互联网的新型孵化方式，提升孵化器专业服务能力。重视科技企业孵化器和众创空间的建设，鼓励社会资本和企业重点围绕互联网、电子商务、动漫、文化创意等产业领域，建设一批专业化创新集聚区、众创空间和孵化育成基地，为创业创新提供良好的载体，推动大众创业、万众创新。进一步深化与高等院校、科研机构的政产学研务实合作，加强前沿应用技术研究攻关、高端科研人才引进和培养，推动科技成果向现实生产力转化。</w:t>
      </w:r>
    </w:p>
    <w:p>
      <w:pPr>
        <w:ind w:firstLine="643"/>
      </w:pPr>
      <w:r>
        <w:rPr>
          <w:rFonts w:hint="eastAsia" w:ascii="仿宋" w:hAnsi="仿宋"/>
          <w:b/>
          <w:bCs/>
          <w:szCs w:val="32"/>
        </w:rPr>
        <w:t>激发服务型制造业发展潜力。</w:t>
      </w:r>
      <w:r>
        <w:rPr>
          <w:rFonts w:hint="eastAsia"/>
        </w:rPr>
        <w:t>推动揭东产业从制造环节向服务环节转移，推进装备、注塑、金属、新材料等制造企业开展服务型制造，积极拓展工业设计服务、定制化服务、供应链管理、共享制造、检验检测认证服务、全生命周期管理、总集成总承包、节能环保服务、生产性金融服务等5G+工业互联网创新模式。鼓励专业化服务企业以制造业产品为基础开发更多技术密集、数据密集的增值服务。</w:t>
      </w:r>
    </w:p>
    <w:tbl>
      <w:tblPr>
        <w:tblStyle w:val="29"/>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290" w:type="dxa"/>
            <w:shd w:val="clear" w:color="auto" w:fill="auto"/>
          </w:tcPr>
          <w:p>
            <w:pPr>
              <w:spacing w:line="400" w:lineRule="exact"/>
              <w:ind w:firstLine="0" w:firstLineChars="0"/>
              <w:jc w:val="center"/>
              <w:rPr>
                <w:rFonts w:ascii="Calibri" w:hAnsi="Calibri" w:eastAsia="宋体"/>
                <w:sz w:val="28"/>
                <w:szCs w:val="28"/>
              </w:rPr>
            </w:pPr>
            <w:r>
              <w:rPr>
                <w:rFonts w:hint="eastAsia" w:ascii="黑体" w:hAnsi="黑体" w:eastAsia="黑体" w:cs="黑体"/>
                <w:b/>
                <w:bCs/>
                <w:sz w:val="28"/>
                <w:szCs w:val="28"/>
              </w:rPr>
              <w:t>专栏</w:t>
            </w:r>
            <w:r>
              <w:rPr>
                <w:rFonts w:ascii="黑体" w:hAnsi="黑体" w:eastAsia="黑体" w:cs="黑体"/>
                <w:b/>
                <w:bCs/>
                <w:sz w:val="28"/>
                <w:szCs w:val="28"/>
              </w:rPr>
              <w:t>3</w:t>
            </w:r>
            <w:r>
              <w:rPr>
                <w:rFonts w:hint="eastAsia" w:ascii="黑体" w:hAnsi="黑体" w:eastAsia="黑体" w:cs="黑体"/>
                <w:b/>
                <w:bCs/>
                <w:sz w:val="28"/>
                <w:szCs w:val="28"/>
              </w:rPr>
              <w:t xml:space="preserve">  科技创新服务平台建设重点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0" w:type="dxa"/>
            <w:shd w:val="clear" w:color="auto" w:fill="auto"/>
          </w:tcPr>
          <w:p>
            <w:pPr>
              <w:spacing w:line="320" w:lineRule="exact"/>
              <w:ind w:left="64" w:leftChars="20" w:right="64" w:rightChars="20" w:firstLine="562"/>
              <w:rPr>
                <w:rFonts w:ascii="楷体" w:hAnsi="楷体" w:eastAsia="楷体" w:cs="楷体"/>
                <w:sz w:val="28"/>
                <w:szCs w:val="28"/>
              </w:rPr>
            </w:pPr>
            <w:r>
              <w:rPr>
                <w:rFonts w:hint="eastAsia" w:ascii="楷体" w:hAnsi="楷体" w:eastAsia="楷体" w:cs="楷体"/>
                <w:b/>
                <w:bCs/>
                <w:sz w:val="28"/>
                <w:szCs w:val="28"/>
              </w:rPr>
              <w:t>1.广东省塑胶及金属制品智能制造区域创新中心：</w:t>
            </w:r>
            <w:r>
              <w:rPr>
                <w:rFonts w:hint="eastAsia" w:ascii="楷体" w:hAnsi="楷体" w:eastAsia="楷体" w:cs="楷体"/>
                <w:sz w:val="28"/>
                <w:szCs w:val="28"/>
              </w:rPr>
              <w:t>以揭阳市支柱产业塑胶、金属制品产业为突破口，在依托股东的支持下，联合高校，通过整合互补资源，引进高端创新团队和人才，针对行业智能制造升级痛点，开展技术研发、服务，成果转化推广等工作，建设中小企业公共服务平台。</w:t>
            </w:r>
          </w:p>
          <w:p>
            <w:pPr>
              <w:spacing w:line="320" w:lineRule="exact"/>
              <w:ind w:left="64" w:leftChars="20" w:right="64" w:rightChars="20" w:firstLine="562"/>
              <w:rPr>
                <w:rFonts w:ascii="楷体" w:hAnsi="楷体" w:eastAsia="楷体" w:cs="楷体"/>
                <w:sz w:val="28"/>
                <w:szCs w:val="28"/>
              </w:rPr>
            </w:pPr>
            <w:r>
              <w:rPr>
                <w:rFonts w:ascii="楷体" w:hAnsi="楷体" w:eastAsia="楷体" w:cs="楷体"/>
                <w:b/>
                <w:bCs/>
                <w:sz w:val="28"/>
                <w:szCs w:val="28"/>
              </w:rPr>
              <w:t>2</w:t>
            </w:r>
            <w:r>
              <w:rPr>
                <w:rFonts w:hint="eastAsia" w:ascii="楷体" w:hAnsi="楷体" w:eastAsia="楷体" w:cs="楷体"/>
                <w:b/>
                <w:bCs/>
                <w:sz w:val="28"/>
                <w:szCs w:val="28"/>
              </w:rPr>
              <w:t>.中德合作创新基地：</w:t>
            </w:r>
            <w:r>
              <w:rPr>
                <w:rFonts w:hint="eastAsia" w:ascii="楷体" w:hAnsi="楷体" w:eastAsia="楷体" w:cs="楷体"/>
                <w:sz w:val="28"/>
                <w:szCs w:val="28"/>
              </w:rPr>
              <w:t>面向先进制造业和战略性新兴产业，积极引进中德合作企业、高等院校、省级研究所、检测机构，设立一批技术研究中心、监测中心、实验室、孵化中心，引领带动智能制造、金属制品加工制造、汽车零配件、传感器等产业创新发展。</w:t>
            </w:r>
          </w:p>
        </w:tc>
      </w:tr>
    </w:tbl>
    <w:p>
      <w:pPr>
        <w:ind w:firstLine="643"/>
      </w:pPr>
      <w:r>
        <w:rPr>
          <w:rFonts w:hint="eastAsia" w:ascii="仿宋" w:hAnsi="仿宋"/>
          <w:b/>
          <w:bCs/>
          <w:szCs w:val="32"/>
        </w:rPr>
        <w:t>加快发展检测认证检验检疫服务。</w:t>
      </w:r>
      <w:r>
        <w:rPr>
          <w:rFonts w:hint="eastAsia"/>
        </w:rPr>
        <w:t>支持第三方机构发展，推动检验检测认证结果和技术能力国际互认。鼓励不同所有制检测认证检验检疫机构平等参与市场竞争，加快推进跨部门、跨行业、跨层级整合与并购重组，培育综合实力强大的检测认证检验检疫集团。</w:t>
      </w:r>
    </w:p>
    <w:p>
      <w:pPr>
        <w:ind w:firstLine="643"/>
      </w:pPr>
      <w:r>
        <w:rPr>
          <w:rFonts w:hint="eastAsia" w:ascii="仿宋" w:hAnsi="仿宋"/>
          <w:b/>
          <w:bCs/>
          <w:szCs w:val="32"/>
        </w:rPr>
        <w:t>提升发展知识产权服务。</w:t>
      </w:r>
      <w:r>
        <w:rPr>
          <w:rFonts w:hint="eastAsia"/>
        </w:rPr>
        <w:t>大力发展知识产权代理、法律、信息、咨询、培训等服务，提高知识产权分析评议、运营实施、评估交易、保护维权、投融资等服务水平，构建全链条的知识产权服务体系。</w:t>
      </w:r>
    </w:p>
    <w:bookmarkEnd w:id="66"/>
    <w:p>
      <w:pPr>
        <w:pStyle w:val="4"/>
        <w:ind w:firstLine="643"/>
      </w:pPr>
      <w:bookmarkStart w:id="67" w:name="_Toc66112134"/>
      <w:r>
        <w:rPr>
          <w:rFonts w:hint="eastAsia"/>
        </w:rPr>
        <w:t>五、商务会展</w:t>
      </w:r>
      <w:bookmarkEnd w:id="67"/>
    </w:p>
    <w:p>
      <w:pPr>
        <w:ind w:firstLine="643"/>
        <w:rPr>
          <w:b/>
          <w:bCs/>
        </w:rPr>
      </w:pPr>
      <w:r>
        <w:rPr>
          <w:rFonts w:hint="eastAsia"/>
          <w:b/>
          <w:bCs/>
        </w:rPr>
        <w:t>（一）定位和目标</w:t>
      </w:r>
    </w:p>
    <w:p>
      <w:pPr>
        <w:ind w:firstLine="640"/>
      </w:pPr>
      <w:r>
        <w:rPr>
          <w:rFonts w:hint="eastAsia"/>
        </w:rPr>
        <w:t>加强与大湾区、海西经济区、粤东城市群合作与交流，接轨欧盟等国际惯例与标准，强化专业人才服务、品牌等软实力建设，增强专业服务整体素质，积极探索推进会展活动与城市建设、产业升级、创新驱动、消费促进、文化旅游等融合发展，提升揭东商务会展产业国际化、专业化、集聚化发展水平。到202</w:t>
      </w:r>
      <w:r>
        <w:t>5</w:t>
      </w:r>
      <w:r>
        <w:rPr>
          <w:rFonts w:hint="eastAsia"/>
        </w:rPr>
        <w:t>年，基本建成种类齐全、分布广泛、运作规范的专业服务业体系，实现会计行业从业人员达到1</w:t>
      </w:r>
      <w:r>
        <w:t>000</w:t>
      </w:r>
      <w:r>
        <w:rPr>
          <w:rFonts w:hint="eastAsia"/>
        </w:rPr>
        <w:t>人，律师行业从业人员达到3</w:t>
      </w:r>
      <w:r>
        <w:t>00</w:t>
      </w:r>
      <w:r>
        <w:rPr>
          <w:rFonts w:hint="eastAsia"/>
        </w:rPr>
        <w:t>人，国际化、现代化、多功能的会展中心建设迈上新台阶</w:t>
      </w:r>
      <w:r>
        <w:rPr>
          <w:rStyle w:val="28"/>
        </w:rPr>
        <w:footnoteReference w:id="2"/>
      </w:r>
      <w:r>
        <w:rPr>
          <w:rFonts w:hint="eastAsia"/>
        </w:rPr>
        <w:t>。</w:t>
      </w:r>
    </w:p>
    <w:p>
      <w:pPr>
        <w:ind w:firstLine="643"/>
        <w:rPr>
          <w:b/>
          <w:bCs/>
        </w:rPr>
      </w:pPr>
      <w:r>
        <w:rPr>
          <w:rFonts w:hint="eastAsia"/>
          <w:b/>
          <w:bCs/>
        </w:rPr>
        <w:t>（二）重点任务</w:t>
      </w:r>
    </w:p>
    <w:p>
      <w:pPr>
        <w:ind w:firstLine="643"/>
      </w:pPr>
      <w:r>
        <w:rPr>
          <w:rFonts w:hint="eastAsia" w:ascii="仿宋" w:hAnsi="仿宋"/>
          <w:b/>
          <w:bCs/>
          <w:szCs w:val="32"/>
        </w:rPr>
        <w:t>积极发展会计服务，</w:t>
      </w:r>
      <w:r>
        <w:rPr>
          <w:rFonts w:hint="eastAsia"/>
        </w:rPr>
        <w:t>鼓励会计师事务所、税务师事务所做大做强，加强同国内、国际发达区域资质互认，引导双方机构和人员广泛交流，加强行业诚信监管，维护市场秩序。</w:t>
      </w:r>
    </w:p>
    <w:p>
      <w:pPr>
        <w:ind w:firstLine="643"/>
      </w:pPr>
      <w:r>
        <w:rPr>
          <w:rFonts w:hint="eastAsia" w:ascii="仿宋" w:hAnsi="仿宋"/>
          <w:b/>
          <w:bCs/>
          <w:szCs w:val="32"/>
        </w:rPr>
        <w:t>大力发展法律服务，</w:t>
      </w:r>
      <w:r>
        <w:rPr>
          <w:rFonts w:hint="eastAsia"/>
        </w:rPr>
        <w:t>率先建成完备的公益、公共、专业法律服务体系，推动法律服务与民生需求、创新创业和法治建设对接，实现法律服务的升级转型，引进和培育熟悉国际商法、国际惯例和交易规则的专业服务从业者，探索更好服务于“一带一路”</w:t>
      </w:r>
      <w:r>
        <w:rPr>
          <w:rFonts w:hint="eastAsia"/>
          <w:lang w:eastAsia="zh-CN"/>
        </w:rPr>
        <w:t>倡议</w:t>
      </w:r>
      <w:r>
        <w:rPr>
          <w:rFonts w:hint="eastAsia"/>
        </w:rPr>
        <w:t>的法律服务发展路径，提高法律服务国际化水平。</w:t>
      </w:r>
    </w:p>
    <w:p>
      <w:pPr>
        <w:ind w:firstLine="643"/>
      </w:pPr>
      <w:r>
        <w:rPr>
          <w:rFonts w:hint="eastAsia" w:ascii="仿宋" w:hAnsi="仿宋"/>
          <w:b/>
          <w:bCs/>
          <w:szCs w:val="32"/>
        </w:rPr>
        <w:t>加快发展人力资源服务业，</w:t>
      </w:r>
      <w:r>
        <w:rPr>
          <w:rFonts w:hint="eastAsia"/>
        </w:rPr>
        <w:t>积极营造加快人力资源服务业发展的良好环境，鼓励人力资源服务机构发展壮大，依托园区打造人力资源公共服务枢纽型基地和产业创新发展平台，促进人才集聚和信息集聚，实现人才结构优化与产业转型升级的有效对接。</w:t>
      </w:r>
    </w:p>
    <w:p>
      <w:pPr>
        <w:ind w:firstLine="640"/>
      </w:pPr>
      <w:r>
        <w:rPr>
          <w:rFonts w:hint="eastAsia"/>
        </w:rPr>
        <w:t>培育发展评估、战略规划、营销策划、广告服务、市场调查、管理咨询、信用服务等提升产业发展素质的专业服务，积极发展工程咨询、城市规划、勘察设计、建筑设计、市政设计、政策咨询等提升城市建设管理水平的专业服务。</w:t>
      </w:r>
    </w:p>
    <w:p>
      <w:pPr>
        <w:ind w:firstLine="643"/>
      </w:pPr>
      <w:r>
        <w:rPr>
          <w:rFonts w:hint="eastAsia" w:ascii="仿宋" w:hAnsi="仿宋"/>
          <w:b/>
          <w:bCs/>
          <w:szCs w:val="32"/>
        </w:rPr>
        <w:t>提升会展业国际化水平。</w:t>
      </w:r>
      <w:r>
        <w:rPr>
          <w:rFonts w:hint="eastAsia"/>
        </w:rPr>
        <w:t>深化打造中德金属生态城商务会展核心功能区，完善展览品监管仓、物流转运中心，优化展馆周边地区交通配套设施，推动会展基础设施建设，支持广交会做大做强。大力培育现代服务业、先进制造业和高新技术产业三大领域的专业会展，认真办好创交会、中博会、广博会、留交会、金交会等品牌会展。</w:t>
      </w:r>
    </w:p>
    <w:p>
      <w:pPr>
        <w:ind w:firstLine="643"/>
      </w:pPr>
      <w:r>
        <w:rPr>
          <w:rFonts w:hint="eastAsia" w:ascii="仿宋" w:hAnsi="仿宋"/>
          <w:b/>
          <w:bCs/>
          <w:szCs w:val="32"/>
        </w:rPr>
        <w:t>创新会展业发展模式。</w:t>
      </w:r>
      <w:r>
        <w:rPr>
          <w:rFonts w:hint="eastAsia"/>
        </w:rPr>
        <w:t>支持各类展会拓展业务范围，推动展会从以货物贸易为主向货物贸易与服务贸易、技术贸易并重转变，以交易为主向展览综合运作转变。大力发展数字会展新业态，鼓励传统展会借助电子商务与移动互联网向展商互动、商务对接、线上交易等平台化功能的新型会展模式转变，打造行业展览、行业网站、行业电子商务平台三位一体的数字会展系统化运营模式。</w:t>
      </w:r>
    </w:p>
    <w:p>
      <w:pPr>
        <w:pStyle w:val="4"/>
        <w:ind w:firstLine="643"/>
      </w:pPr>
      <w:r>
        <w:rPr>
          <w:rFonts w:hint="eastAsia"/>
        </w:rPr>
        <w:t>六、文化创意</w:t>
      </w:r>
    </w:p>
    <w:p>
      <w:pPr>
        <w:ind w:firstLine="643"/>
        <w:rPr>
          <w:b/>
          <w:bCs/>
        </w:rPr>
      </w:pPr>
      <w:r>
        <w:rPr>
          <w:rFonts w:hint="eastAsia"/>
          <w:b/>
          <w:bCs/>
        </w:rPr>
        <w:t>（一）定位和目标</w:t>
      </w:r>
    </w:p>
    <w:p>
      <w:pPr>
        <w:ind w:firstLine="640"/>
      </w:pPr>
      <w:r>
        <w:rPr>
          <w:rFonts w:hint="eastAsia"/>
        </w:rPr>
        <w:t>加强科技创新应用，加快文化与多产业的相互融合，着力培育新兴模式业态，以创意设计和内容服务为核心，强化文化创意对产品服务增值和文娱消费体验的支撑功能，推动产业专业化、高端化、国际化发展。</w:t>
      </w:r>
      <w:bookmarkStart w:id="68" w:name="_Hlk95319076"/>
      <w:r>
        <w:rPr>
          <w:rFonts w:hint="eastAsia"/>
        </w:rPr>
        <w:t>到202</w:t>
      </w:r>
      <w:r>
        <w:t>5</w:t>
      </w:r>
      <w:r>
        <w:rPr>
          <w:rFonts w:hint="eastAsia"/>
        </w:rPr>
        <w:t>年，将揭东建设成为粤东知名的文化创意高地，文化创意产业增加值占GDP比重达</w:t>
      </w:r>
      <w:r>
        <w:t>4</w:t>
      </w:r>
      <w:r>
        <w:rPr>
          <w:rFonts w:hint="eastAsia"/>
        </w:rPr>
        <w:t>%左右。</w:t>
      </w:r>
    </w:p>
    <w:bookmarkEnd w:id="68"/>
    <w:p>
      <w:pPr>
        <w:ind w:firstLine="643"/>
        <w:rPr>
          <w:rFonts w:ascii="仿宋" w:hAnsi="仿宋"/>
          <w:b/>
          <w:bCs/>
        </w:rPr>
      </w:pPr>
      <w:r>
        <w:rPr>
          <w:rFonts w:hint="eastAsia" w:ascii="仿宋" w:hAnsi="仿宋"/>
          <w:b/>
          <w:bCs/>
        </w:rPr>
        <w:t>（二）重点任务</w:t>
      </w:r>
    </w:p>
    <w:p>
      <w:pPr>
        <w:ind w:firstLine="643"/>
        <w:rPr>
          <w:szCs w:val="32"/>
        </w:rPr>
      </w:pPr>
      <w:r>
        <w:rPr>
          <w:rFonts w:hint="eastAsia" w:ascii="仿宋" w:hAnsi="仿宋"/>
          <w:b/>
          <w:bCs/>
        </w:rPr>
        <w:t>做强玉文化品牌。</w:t>
      </w:r>
      <w:r>
        <w:rPr>
          <w:rFonts w:hint="eastAsia"/>
        </w:rPr>
        <w:t>加强对揭阳玉文化产业发展的顶层设计和空间规划，加强对“中国玉都”进行全方位的规划设计，</w:t>
      </w:r>
      <w:r>
        <w:rPr>
          <w:rFonts w:hint="eastAsia"/>
          <w:szCs w:val="32"/>
        </w:rPr>
        <w:t>塑造特色城市形象，</w:t>
      </w:r>
      <w:r>
        <w:rPr>
          <w:rFonts w:hint="eastAsia"/>
        </w:rPr>
        <w:t>打造“中国玉都”特色城市形象。</w:t>
      </w:r>
      <w:r>
        <w:rPr>
          <w:rFonts w:hint="eastAsia"/>
          <w:szCs w:val="32"/>
        </w:rPr>
        <w:t>高标准规划设计建设玉石公盘、玉石市场、玉器博览、原石溯源、指数交易、行业标准、线上线下、基础设施、公共服务、旅游文化，突显揭阳玉文化产业特色，兼具潮汕传统文化传承，多维度提升城市品质。在充分发挥原有互联网平台（快手揭阳翡翠直播基地、揭阳珠宝淘宝直播基地及其他第三方电子商务平台）的基础上，积极探索“互联网</w:t>
      </w:r>
      <w:r>
        <w:rPr>
          <w:szCs w:val="32"/>
        </w:rPr>
        <w:t>+”，推进玉石行业转型升级。</w:t>
      </w:r>
      <w:r>
        <w:rPr>
          <w:rFonts w:hint="eastAsia"/>
          <w:szCs w:val="32"/>
        </w:rPr>
        <w:t>积极打造玉器行业良好营商环境。强化政策配套和招商引资工作，</w:t>
      </w:r>
      <w:r>
        <w:rPr>
          <w:rFonts w:hint="eastAsia"/>
        </w:rPr>
        <w:t>完善政府与行业协会牵头对接平台，</w:t>
      </w:r>
      <w:r>
        <w:rPr>
          <w:rFonts w:hint="eastAsia"/>
          <w:szCs w:val="32"/>
        </w:rPr>
        <w:t>引进重点企业落户并以玉文化产业为载体，辐射周边玉文化产业和潮汕传统文化旅游。</w:t>
      </w:r>
    </w:p>
    <w:p>
      <w:pPr>
        <w:ind w:firstLine="640"/>
        <w:rPr>
          <w:szCs w:val="32"/>
        </w:rPr>
      </w:pPr>
    </w:p>
    <w:p>
      <w:pPr>
        <w:ind w:firstLine="640"/>
        <w:rPr>
          <w:rFonts w:hint="eastAsia"/>
          <w:szCs w:val="32"/>
        </w:rPr>
      </w:pPr>
    </w:p>
    <w:p>
      <w:pPr>
        <w:spacing w:line="200" w:lineRule="exact"/>
        <w:ind w:firstLine="640"/>
        <w:rPr>
          <w:szCs w:val="32"/>
        </w:rPr>
      </w:pP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296" w:type="dxa"/>
          </w:tcPr>
          <w:p>
            <w:pPr>
              <w:spacing w:line="360" w:lineRule="exact"/>
              <w:ind w:firstLine="0" w:firstLineChars="0"/>
              <w:jc w:val="center"/>
              <w:rPr>
                <w:rFonts w:ascii="黑体" w:hAnsi="黑体" w:eastAsia="黑体"/>
                <w:sz w:val="28"/>
                <w:szCs w:val="18"/>
              </w:rPr>
            </w:pPr>
            <w:r>
              <w:rPr>
                <w:rFonts w:hint="eastAsia" w:ascii="黑体" w:hAnsi="黑体" w:eastAsia="黑体"/>
                <w:b/>
                <w:bCs/>
                <w:sz w:val="28"/>
                <w:szCs w:val="18"/>
              </w:rPr>
              <w:t>专栏</w:t>
            </w:r>
            <w:r>
              <w:rPr>
                <w:rFonts w:ascii="黑体" w:hAnsi="黑体" w:eastAsia="黑体"/>
                <w:b/>
                <w:bCs/>
                <w:sz w:val="28"/>
                <w:szCs w:val="18"/>
              </w:rPr>
              <w:t>4</w:t>
            </w:r>
            <w:r>
              <w:rPr>
                <w:rFonts w:hint="eastAsia" w:ascii="黑体" w:hAnsi="黑体" w:eastAsia="黑体"/>
                <w:b/>
                <w:bCs/>
                <w:sz w:val="28"/>
                <w:szCs w:val="18"/>
              </w:rPr>
              <w:t xml:space="preserve"> 玉文化+新型业态培育工程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1．发展</w:t>
            </w:r>
            <w:r>
              <w:rPr>
                <w:rFonts w:ascii="楷体" w:hAnsi="楷体" w:eastAsia="楷体"/>
                <w:sz w:val="28"/>
                <w:szCs w:val="18"/>
              </w:rPr>
              <w:t>玉文化+旅游</w:t>
            </w:r>
            <w:r>
              <w:rPr>
                <w:rFonts w:hint="eastAsia" w:ascii="楷体" w:hAnsi="楷体" w:eastAsia="楷体"/>
                <w:sz w:val="28"/>
                <w:szCs w:val="18"/>
              </w:rPr>
              <w:t>，</w:t>
            </w:r>
            <w:r>
              <w:rPr>
                <w:rFonts w:ascii="楷体" w:hAnsi="楷体" w:eastAsia="楷体"/>
                <w:sz w:val="28"/>
                <w:szCs w:val="18"/>
              </w:rPr>
              <w:t>引进旅游公司到“中国玉都”落户，开发以玉为主题的“玉雕加工体验游”“玉文化体验游”等特色旅游线路，向游客综合展示公盘、切割、设计、雕刻、拍卖、</w:t>
            </w:r>
            <w:r>
              <w:rPr>
                <w:rFonts w:hint="eastAsia" w:ascii="楷体" w:hAnsi="楷体" w:eastAsia="楷体"/>
                <w:sz w:val="28"/>
                <w:szCs w:val="18"/>
              </w:rPr>
              <w:t>博览。</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2．发展</w:t>
            </w:r>
            <w:r>
              <w:rPr>
                <w:rFonts w:ascii="楷体" w:hAnsi="楷体" w:eastAsia="楷体"/>
                <w:sz w:val="28"/>
                <w:szCs w:val="18"/>
              </w:rPr>
              <w:t>玉文化+教育培训</w:t>
            </w:r>
            <w:r>
              <w:rPr>
                <w:rFonts w:hint="eastAsia" w:ascii="楷体" w:hAnsi="楷体" w:eastAsia="楷体"/>
                <w:sz w:val="28"/>
                <w:szCs w:val="18"/>
              </w:rPr>
              <w:t>，</w:t>
            </w:r>
            <w:r>
              <w:rPr>
                <w:rFonts w:ascii="楷体" w:hAnsi="楷体" w:eastAsia="楷体"/>
                <w:sz w:val="28"/>
                <w:szCs w:val="18"/>
              </w:rPr>
              <w:t>重点提升设计、雕刻、销售、展示、体验、博览、鉴赏等环节从业人员的职业素养和艺术文化素质，全方位提升“中国玉都”文化内涵</w:t>
            </w:r>
            <w:r>
              <w:rPr>
                <w:rFonts w:hint="eastAsia" w:ascii="楷体" w:hAnsi="楷体" w:eastAsia="楷体"/>
                <w:sz w:val="28"/>
                <w:szCs w:val="18"/>
              </w:rPr>
              <w:t>。</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3．发展</w:t>
            </w:r>
            <w:r>
              <w:rPr>
                <w:rFonts w:ascii="楷体" w:hAnsi="楷体" w:eastAsia="楷体"/>
                <w:sz w:val="28"/>
                <w:szCs w:val="18"/>
              </w:rPr>
              <w:t>玉文化+金融科技</w:t>
            </w:r>
            <w:r>
              <w:rPr>
                <w:rFonts w:hint="eastAsia" w:ascii="楷体" w:hAnsi="楷体" w:eastAsia="楷体"/>
                <w:sz w:val="28"/>
                <w:szCs w:val="18"/>
              </w:rPr>
              <w:t>，</w:t>
            </w:r>
            <w:r>
              <w:rPr>
                <w:rFonts w:ascii="楷体" w:hAnsi="楷体" w:eastAsia="楷体"/>
                <w:sz w:val="28"/>
                <w:szCs w:val="18"/>
              </w:rPr>
              <w:t>推动玉文化产业注入金融科技元素，特别在建立原石交易所、打造玉器产业通证交易、制定翡翠玉石资产价格指数等方面作出探索，推动揭阳玉文化产业国际化、资产化、指数化，建立行业标准</w:t>
            </w:r>
            <w:r>
              <w:rPr>
                <w:rFonts w:hint="eastAsia" w:ascii="楷体" w:hAnsi="楷体" w:eastAsia="楷体"/>
                <w:sz w:val="28"/>
                <w:szCs w:val="18"/>
              </w:rPr>
              <w:t>。</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4．发展</w:t>
            </w:r>
            <w:r>
              <w:rPr>
                <w:rFonts w:ascii="楷体" w:hAnsi="楷体" w:eastAsia="楷体"/>
                <w:sz w:val="28"/>
                <w:szCs w:val="18"/>
              </w:rPr>
              <w:t>玉文化+电商直播</w:t>
            </w:r>
            <w:r>
              <w:rPr>
                <w:rFonts w:hint="eastAsia" w:ascii="楷体" w:hAnsi="楷体" w:eastAsia="楷体"/>
                <w:sz w:val="28"/>
                <w:szCs w:val="18"/>
              </w:rPr>
              <w:t>，</w:t>
            </w:r>
            <w:r>
              <w:rPr>
                <w:rFonts w:ascii="楷体" w:hAnsi="楷体" w:eastAsia="楷体"/>
                <w:sz w:val="28"/>
                <w:szCs w:val="18"/>
              </w:rPr>
              <w:t>依托淘宝、快手、YY、抖音直播基地，大力招引各大电商平台入驻，加快培育和拓展玉文化产业新业态，提供多元化、个性化的玉器产品服务，以电子商务、直播带货、孵化电商、线上拍卖、会展经济等方式拓宽玉文化产业的销售渠道。</w:t>
            </w:r>
          </w:p>
        </w:tc>
      </w:tr>
    </w:tbl>
    <w:p>
      <w:pPr>
        <w:spacing w:line="540" w:lineRule="exact"/>
        <w:ind w:firstLine="643"/>
      </w:pPr>
      <w:bookmarkStart w:id="69" w:name="_Toc66112136"/>
      <w:r>
        <w:rPr>
          <w:rFonts w:hint="eastAsia"/>
          <w:b/>
          <w:bCs/>
        </w:rPr>
        <w:t>鼓励创意设计高端发展。</w:t>
      </w:r>
      <w:r>
        <w:rPr>
          <w:rFonts w:hint="eastAsia"/>
        </w:rPr>
        <w:t>支持“设计+品牌”“设计+科技”“设计+文化”等商业模式和新兴业态发展，大力推进智能设计、时尚设计、品牌设计、新媒体和体验交互设计等高端领域，提高产品人性化设计水平，提升产品文化内涵与附加值。</w:t>
      </w:r>
    </w:p>
    <w:p>
      <w:pPr>
        <w:spacing w:line="540" w:lineRule="exact"/>
        <w:ind w:firstLine="643"/>
      </w:pPr>
      <w:r>
        <w:rPr>
          <w:rFonts w:hint="eastAsia"/>
          <w:b/>
          <w:bCs/>
        </w:rPr>
        <w:t>加快数字内容产业发展。</w:t>
      </w:r>
      <w:r>
        <w:rPr>
          <w:rFonts w:hint="eastAsia"/>
        </w:rPr>
        <w:t>支持传统媒体和新兴媒体在内容、渠道、平台、经营、管理等方面深度融合，大力发展数字出版产业，鼓励动漫游戏软件开发，推动动漫游戏原创生产，加快动漫游戏、虚拟仿真及衍生产品服务的拓展应用。</w:t>
      </w:r>
    </w:p>
    <w:p>
      <w:pPr>
        <w:spacing w:line="540" w:lineRule="exact"/>
        <w:ind w:firstLine="643"/>
      </w:pPr>
      <w:r>
        <w:rPr>
          <w:rFonts w:hint="eastAsia"/>
          <w:b/>
          <w:bCs/>
        </w:rPr>
        <w:t>壮大文化创意市场主体。</w:t>
      </w:r>
      <w:r>
        <w:rPr>
          <w:rFonts w:hint="eastAsia"/>
        </w:rPr>
        <w:t>鼓励各类社会资本以产业投资基金和众筹等多种形式投资文化创意产业，支持文化创意企业向专、精、特、新方向发展，打造中小企业集群，鼓励组建以产业链、产品链、技术链为依托的文化创意产业集团和产业联盟，提高文化创意产业的综合竞争实力。</w:t>
      </w:r>
    </w:p>
    <w:p>
      <w:pPr>
        <w:pStyle w:val="3"/>
      </w:pPr>
      <w:bookmarkStart w:id="70" w:name="_Toc75367592"/>
      <w:r>
        <w:rPr>
          <w:rFonts w:hint="eastAsia"/>
        </w:rPr>
        <w:t>第二节 大力发展生活性服务业</w:t>
      </w:r>
      <w:bookmarkEnd w:id="70"/>
    </w:p>
    <w:bookmarkEnd w:id="69"/>
    <w:p>
      <w:pPr>
        <w:pStyle w:val="4"/>
        <w:ind w:firstLine="643"/>
      </w:pPr>
      <w:bookmarkStart w:id="71" w:name="_Toc66112138"/>
      <w:r>
        <w:rPr>
          <w:rFonts w:hint="eastAsia"/>
        </w:rPr>
        <w:t>一、旅游休闲</w:t>
      </w:r>
      <w:bookmarkEnd w:id="71"/>
    </w:p>
    <w:p>
      <w:pPr>
        <w:ind w:firstLine="643"/>
        <w:rPr>
          <w:b/>
          <w:bCs/>
        </w:rPr>
      </w:pPr>
      <w:r>
        <w:rPr>
          <w:rFonts w:hint="eastAsia"/>
          <w:b/>
          <w:bCs/>
        </w:rPr>
        <w:t>（一）定位和目标</w:t>
      </w:r>
    </w:p>
    <w:p>
      <w:pPr>
        <w:ind w:firstLine="640"/>
      </w:pPr>
      <w:r>
        <w:rPr>
          <w:rFonts w:hint="eastAsia"/>
        </w:rPr>
        <w:t>丰富旅游产品，改善市场环境，推动旅游服务向观光、休闲、度假并重转变，提升旅游文化内涵和附加值，满足高品质、多样化、多层次旅游需求，到202</w:t>
      </w:r>
      <w:r>
        <w:t>5</w:t>
      </w:r>
      <w:r>
        <w:rPr>
          <w:rFonts w:hint="eastAsia"/>
        </w:rPr>
        <w:t>年，将揭东建成粤东地区创新活力的现代旅游城市，旅游总收入年均增速8%，突破</w:t>
      </w:r>
      <w:r>
        <w:t>30</w:t>
      </w:r>
      <w:r>
        <w:rPr>
          <w:rFonts w:hint="eastAsia"/>
        </w:rPr>
        <w:t>亿元。</w:t>
      </w:r>
    </w:p>
    <w:p>
      <w:pPr>
        <w:ind w:firstLine="643"/>
        <w:rPr>
          <w:b/>
          <w:bCs/>
        </w:rPr>
      </w:pPr>
      <w:r>
        <w:rPr>
          <w:rFonts w:hint="eastAsia"/>
          <w:b/>
          <w:bCs/>
        </w:rPr>
        <w:t>（二）重点任务</w:t>
      </w:r>
    </w:p>
    <w:p>
      <w:pPr>
        <w:spacing w:line="540" w:lineRule="exact"/>
        <w:ind w:firstLine="643"/>
      </w:pPr>
      <w:r>
        <w:rPr>
          <w:rFonts w:hint="eastAsia" w:ascii="仿宋" w:hAnsi="仿宋"/>
          <w:b/>
          <w:bCs/>
        </w:rPr>
        <w:t>打造粤东旅游新高地。</w:t>
      </w:r>
      <w:r>
        <w:rPr>
          <w:rFonts w:hint="eastAsia"/>
        </w:rPr>
        <w:t>加强文旅资源统筹规划，以点带面，推动全域旅游向纵深发展。发挥埔田“近零碳排放”特色小镇、玉湖历史文化小镇、望天湖生态康养小镇、市外桃园旅游度假区等驱动效应，联动发展揭东乡村旅游等示范集群，形成具有影响力、辐射力、带动力的文旅平台。创新“旅游+生态+文化+健康+体育”等融合发展模式，以山水为依托、文化为底蕴、红色为主题、生态为特色，推进生态与文化相融合、促进观光与休闲相结合、积极拓展体育+旅游等旅游新业态。</w:t>
      </w:r>
    </w:p>
    <w:p>
      <w:pPr>
        <w:ind w:firstLine="643"/>
        <w:rPr>
          <w:szCs w:val="22"/>
        </w:rPr>
      </w:pPr>
      <w:r>
        <w:rPr>
          <w:rFonts w:hint="eastAsia" w:ascii="仿宋" w:hAnsi="仿宋"/>
          <w:b/>
          <w:bCs/>
        </w:rPr>
        <w:t>促进“旅游</w:t>
      </w:r>
      <w:r>
        <w:rPr>
          <w:rFonts w:ascii="仿宋" w:hAnsi="仿宋"/>
          <w:b/>
          <w:bCs/>
        </w:rPr>
        <w:t>+</w:t>
      </w:r>
      <w:r>
        <w:rPr>
          <w:rFonts w:hint="eastAsia" w:ascii="仿宋" w:hAnsi="仿宋"/>
          <w:b/>
          <w:bCs/>
        </w:rPr>
        <w:t>”产业融合。</w:t>
      </w:r>
      <w:r>
        <w:rPr>
          <w:rFonts w:hint="eastAsia"/>
          <w:szCs w:val="22"/>
        </w:rPr>
        <w:t>依据揭东特色旅游资源，围绕游客的“吃、住、行、游、购、娱”活动，重点推动旅游景区、旅游小镇、旅游特色村、田园综合体示范点、茶园、电商村、“红色休闲生态”旅游线路、美食风情街区、体育场馆等建设，打造美丽乡村旅游、红色基因旅游、名人故里旅游、文化康养旅游、特色美食旅游五大旅游品牌体系。同时，依托磐东玉石文化产业市场，加快建设阳美玉文化创意产业园区和玉文化展示馆，擦亮阳美玉石文化品牌，带动旅游餐饮业发展，助力打造揭阳古城历史文化风情圈。</w:t>
      </w:r>
    </w:p>
    <w:tbl>
      <w:tblPr>
        <w:tblStyle w:val="29"/>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96" w:type="dxa"/>
          </w:tcPr>
          <w:p>
            <w:pPr>
              <w:spacing w:line="400" w:lineRule="exact"/>
              <w:ind w:firstLine="0" w:firstLineChars="0"/>
              <w:jc w:val="center"/>
              <w:textAlignment w:val="baseline"/>
              <w:rPr>
                <w:rFonts w:ascii="黑体" w:hAnsi="黑体" w:eastAsia="黑体"/>
                <w:b/>
                <w:sz w:val="28"/>
                <w:szCs w:val="28"/>
                <w:shd w:val="clear" w:color="auto" w:fill="FFFFFF"/>
              </w:rPr>
            </w:pPr>
            <w:r>
              <w:rPr>
                <w:rFonts w:hint="eastAsia" w:ascii="黑体" w:hAnsi="黑体" w:eastAsia="黑体"/>
                <w:b/>
                <w:sz w:val="28"/>
                <w:szCs w:val="28"/>
                <w:shd w:val="clear" w:color="auto" w:fill="FFFFFF"/>
              </w:rPr>
              <w:t>专栏</w:t>
            </w:r>
            <w:r>
              <w:rPr>
                <w:rFonts w:ascii="黑体" w:hAnsi="黑体" w:eastAsia="黑体"/>
                <w:b/>
                <w:sz w:val="28"/>
                <w:szCs w:val="28"/>
                <w:shd w:val="clear" w:color="auto" w:fill="FFFFFF"/>
              </w:rPr>
              <w:t>5</w:t>
            </w:r>
            <w:r>
              <w:rPr>
                <w:rFonts w:hint="eastAsia" w:ascii="黑体" w:hAnsi="黑体" w:eastAsia="黑体"/>
                <w:b/>
                <w:sz w:val="28"/>
                <w:szCs w:val="28"/>
                <w:shd w:val="clear" w:color="auto" w:fill="FFFFFF"/>
              </w:rPr>
              <w:t xml:space="preserve"> 揭东五大旅游品牌建设指引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1.美丽乡村旅游品牌。依托乡村振兴战略、省级新农村连片示范建设工程、农村人居环境综合整治行动，全面实施“美丽乡村”旅游工程，加快开发乡村的田园景观、山水资源、农耕民俗、民居宗祠等特色旅游资源，鼓励发展古村落、农家乐、休闲农庄、乡村花海、民宿客栈和创客空间等旅游产品。重点推动玉湖历史文化小镇、埔田特色小镇建设，潭王村、牌边村、饶平村、军田村等培育建设旅游特色村，完善玉湖山茶园、军埔电商村配套设施建设，打造一批旅游名镇名村，吸引更多游客到乡村休闲度假。</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2.红色基因旅游品牌。依托揭东丰富的红色文化基因，加快发展红色旅游，建设提升红色旅游景区（点）。以汾水战役纪念公园、潮揭丰边人民委员会旧址、桂东村革命烈士碑、南侨二校革命史纪念馆、潭王村、尖山村革命老区为代表的红色旅游景区，建设红色旅游特色村，打造一批红色旅游精品线路，发挥爱国主义和革命传统教育功能。积极申报广东省乡村旅游精品线路，对入选的“红色休闲生态”揭东一日乡村旅游线路加大推介宣传。</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3.名人故里旅游品牌。充分利用揭东人文昌盛优势，发挥名人故里、非物质文化遗产标志性的、有吸引力的、具显示度的文化旅游资源作用。通过对文化遗址和名人故里的修缮，以及非物质文化遗产的保护，优化当地投资环境。重点挖掘以玉湖“中国核潜艇之父”黄旭华院士、黄叔培院士、新亨蔡翘院士、玉滘郑大进为代表的名人文化及梅冈书院、蓝田书院、玉清宫、腾龙寺、双峰寺等书院、宗教文化。开展学术研究，传承名人文化，开发集文化交流、养生、养心等于一体的禅意休闲度假旅游，打造一批具有文化内涵和旅游发展潜力的揭东文化旅游品牌。</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4.文化康养旅游品牌。推进康养文化旅游，依托望天湖、市外桃源等重点旅游资源，探索“旅游+康养+文化+度假”等发展模式，着力打造健康管理、旅游观光、养生养老等“旅游+”产业发展方向。发展体育文化旅游，突出体育健康主题、强化产业支撑带动，促进“体育+文化+旅游+健康”的深度融合，积极开发户外旅游新业态。发展特色民俗文化旅游，推进曲溪龙砂“灯杆彩凤”习俗、锣鼓标旗、摆猪羊、玉湖炒茶、传统龙舟建造技艺、吴履逊旧居建筑群等潮汕特色民俗、技艺和文化遗址开发。</w:t>
            </w:r>
          </w:p>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5.特色美食旅游品牌。依托城乡中自然形成的传统小吃街、步行街，建设成以埔田竹笋、牛肉粿条、玉湖炒朥饭、乒乓粿、反砂芋等特色小吃为品牌的美食风情街区，提供美食品尝、休闲商业、特产品展销、夜间舞台等休闲服务功能。打造“一镇一味”特色菜品品牌，重点建设埔田美食街、曲溪老石路民间美食街等街区。着力打造“揭东小吃”美食品牌。</w:t>
            </w:r>
          </w:p>
        </w:tc>
      </w:tr>
    </w:tbl>
    <w:p>
      <w:pPr>
        <w:spacing w:line="540" w:lineRule="exact"/>
        <w:ind w:firstLine="643"/>
        <w:rPr>
          <w:szCs w:val="22"/>
          <w:shd w:val="clear" w:color="auto" w:fill="FFFFFF"/>
        </w:rPr>
      </w:pPr>
      <w:r>
        <w:rPr>
          <w:rFonts w:hint="eastAsia" w:ascii="仿宋" w:hAnsi="仿宋"/>
          <w:b/>
          <w:bCs/>
        </w:rPr>
        <w:t>推进旅游产业开放发展。</w:t>
      </w:r>
      <w:r>
        <w:rPr>
          <w:rFonts w:hint="eastAsia"/>
          <w:shd w:val="clear" w:color="auto" w:fill="FFFFFF"/>
        </w:rPr>
        <w:t>充分利用揭东文、体、旅、农、林、山、水等丰富多样的自然人文资源，加强与周边市县旅游资源互促互补，</w:t>
      </w:r>
      <w:r>
        <w:rPr>
          <w:rFonts w:hint="eastAsia"/>
        </w:rPr>
        <w:t>共建大潮汕文化旅游区。依托乡村绿道建设，</w:t>
      </w:r>
      <w:r>
        <w:rPr>
          <w:rFonts w:hint="eastAsia"/>
          <w:szCs w:val="22"/>
          <w:shd w:val="clear" w:color="auto" w:fill="FFFFFF"/>
        </w:rPr>
        <w:t>串联历史古村和人文风情区，沿线共建一批潮汕民俗文化展示区，拓展民俗乡村体验游线。深入挖掘潮汕文化、生态文化、红色文化特色资源，积极创建文化创意产业园，发展区域特色文化产业群，打造特色文化品牌和特色“休闲地”“体验场”。</w:t>
      </w:r>
    </w:p>
    <w:p>
      <w:pPr>
        <w:spacing w:line="540" w:lineRule="exact"/>
        <w:ind w:firstLine="643"/>
      </w:pPr>
      <w:r>
        <w:rPr>
          <w:rFonts w:ascii="仿宋" w:hAnsi="仿宋"/>
          <w:b/>
          <w:bCs/>
        </w:rPr>
        <w:t>完善旅游基础设施体系</w:t>
      </w:r>
      <w:r>
        <w:rPr>
          <w:rFonts w:hint="eastAsia" w:ascii="仿宋" w:hAnsi="仿宋"/>
          <w:b/>
          <w:bCs/>
        </w:rPr>
        <w:t>。</w:t>
      </w:r>
      <w:r>
        <w:rPr>
          <w:rFonts w:hint="eastAsia"/>
        </w:rPr>
        <w:t>优化旅游交通环境，完善公共服务设施，完善乡村旅游“八小工程”，提升接待服务能力。切实解决景区“小交通”与城区“大交通”的衔接问题。</w:t>
      </w:r>
      <w:r>
        <w:t>完善公共服务设施，抓好景区及周边的供水、供电、环卫、消防、停车场等基础设施建设，加大景区和摊点的管理力度。完善游客集散、服务中心、旅游标识系统等设施，</w:t>
      </w:r>
      <w:r>
        <w:rPr>
          <w:rFonts w:hint="eastAsia"/>
        </w:rPr>
        <w:t>巩固深化</w:t>
      </w:r>
      <w:r>
        <w:t>旅游厕所革命。提升智慧旅游服务水平，拓展</w:t>
      </w:r>
      <w:r>
        <w:rPr>
          <w:rFonts w:ascii="仿宋" w:hAnsi="仿宋"/>
        </w:rPr>
        <w:t>“智慧导游”</w:t>
      </w:r>
      <w:r>
        <w:t>、实时监控、电子商务、资讯网站等智慧应用场景。创新建立多元化旅游住宿体系，推进住宿业连锁化、网络化、集团化发展，做大做强一批有竞争力的住宿业品牌，积极发展自驾车旅居车营地、特色客栈等新兴住宿业态。</w:t>
      </w:r>
    </w:p>
    <w:p>
      <w:pPr>
        <w:pStyle w:val="4"/>
        <w:ind w:firstLine="643"/>
      </w:pPr>
      <w:bookmarkStart w:id="72" w:name="_Toc66112137"/>
      <w:r>
        <w:rPr>
          <w:rFonts w:hint="eastAsia"/>
        </w:rPr>
        <w:t>二、商贸服务</w:t>
      </w:r>
      <w:bookmarkEnd w:id="72"/>
    </w:p>
    <w:p>
      <w:pPr>
        <w:ind w:firstLine="643"/>
        <w:rPr>
          <w:b/>
          <w:bCs/>
        </w:rPr>
      </w:pPr>
      <w:r>
        <w:rPr>
          <w:rFonts w:hint="eastAsia"/>
          <w:b/>
          <w:bCs/>
        </w:rPr>
        <w:t>（一）定位和目标</w:t>
      </w:r>
    </w:p>
    <w:p>
      <w:pPr>
        <w:ind w:firstLine="640"/>
      </w:pPr>
      <w:r>
        <w:rPr>
          <w:rFonts w:hint="eastAsia"/>
        </w:rPr>
        <w:t>依托电子商务、移动支付等新兴技术和O2O等商务模式，加强商贸流通创新，创造引领新兴消费，强化品牌标准建设，构建规模适度、布局合理、层次分明、业态先进的现代化商业体系和现代高效的商贸流通网络。到202</w:t>
      </w:r>
      <w:r>
        <w:t>5</w:t>
      </w:r>
      <w:r>
        <w:rPr>
          <w:rFonts w:hint="eastAsia"/>
        </w:rPr>
        <w:t>年，将揭东打造成为揭阳重要消费中心和粤东地区特色产品的采购重心，</w:t>
      </w:r>
      <w:bookmarkStart w:id="73" w:name="_Hlk95317977"/>
      <w:r>
        <w:rPr>
          <w:rFonts w:hint="eastAsia"/>
        </w:rPr>
        <w:t>实现社会消费品零售总额年均增速</w:t>
      </w:r>
      <w:r>
        <w:t>8</w:t>
      </w:r>
      <w:r>
        <w:rPr>
          <w:rFonts w:hint="eastAsia"/>
        </w:rPr>
        <w:t>%，达到</w:t>
      </w:r>
      <w:r>
        <w:t>261.6</w:t>
      </w:r>
      <w:r>
        <w:rPr>
          <w:rFonts w:hint="eastAsia"/>
        </w:rPr>
        <w:t>亿元。</w:t>
      </w:r>
      <w:bookmarkEnd w:id="73"/>
    </w:p>
    <w:p>
      <w:pPr>
        <w:ind w:firstLine="643"/>
        <w:rPr>
          <w:b/>
          <w:bCs/>
        </w:rPr>
      </w:pPr>
      <w:r>
        <w:rPr>
          <w:rFonts w:hint="eastAsia"/>
          <w:b/>
          <w:bCs/>
        </w:rPr>
        <w:t>（二）重点任务</w:t>
      </w:r>
    </w:p>
    <w:p>
      <w:pPr>
        <w:ind w:firstLine="643"/>
        <w:rPr>
          <w:rFonts w:ascii="仿宋" w:hAnsi="仿宋"/>
        </w:rPr>
      </w:pPr>
      <w:r>
        <w:rPr>
          <w:rFonts w:hint="eastAsia" w:ascii="仿宋" w:hAnsi="仿宋"/>
          <w:b/>
          <w:bCs/>
        </w:rPr>
        <w:t>推动传统零售业可持续转型。</w:t>
      </w:r>
      <w:r>
        <w:rPr>
          <w:rFonts w:hint="eastAsia" w:ascii="仿宋" w:hAnsi="仿宋"/>
        </w:rPr>
        <w:t>加快转变过去单纯依靠商业旺地推动业绩提升的发展之路，积极引导传统零售业向体验式、高品质、智能化、社群化转型，实现零售业自我突围。支持传统餐饮企业向</w:t>
      </w:r>
      <w:r>
        <w:rPr>
          <w:rFonts w:hint="eastAsia"/>
        </w:rPr>
        <w:t>餐饮供应链管理、配送服务等产业服务链条拓展。</w:t>
      </w:r>
      <w:r>
        <w:rPr>
          <w:rFonts w:hint="eastAsia" w:ascii="仿宋" w:hAnsi="仿宋"/>
        </w:rPr>
        <w:t>结合文商旅融合战略实施，大力发展体验式商业，加大对景区开展商贸服务等配套建设的支持力度。发展壮大第三方支付平台，建设一批有影响力的电子商务交易平台，促进批发零售业与电子商务融合发展。支持传统百货业开设跨境电商体验店，由商品销售为主向“商品＋服务”并重转变。利用国企改革特别是混合所有制改革契机，加快国有商业企业市场化改革，引入社会资本，改变传统经营者选拔、国有资产管理和经营模式。结合镇区</w:t>
      </w:r>
      <w:r>
        <w:rPr>
          <w:rFonts w:hint="eastAsia" w:ascii="仿宋" w:hAnsi="仿宋"/>
          <w:lang w:eastAsia="zh-CN"/>
        </w:rPr>
        <w:t>“</w:t>
      </w:r>
      <w:r>
        <w:rPr>
          <w:rFonts w:hint="eastAsia" w:ascii="仿宋" w:hAnsi="仿宋"/>
        </w:rPr>
        <w:t>三旧</w:t>
      </w:r>
      <w:r>
        <w:rPr>
          <w:rFonts w:hint="eastAsia" w:ascii="仿宋" w:hAnsi="仿宋"/>
          <w:lang w:eastAsia="zh-CN"/>
        </w:rPr>
        <w:t>”</w:t>
      </w:r>
      <w:r>
        <w:rPr>
          <w:rFonts w:hint="eastAsia" w:ascii="仿宋" w:hAnsi="仿宋"/>
        </w:rPr>
        <w:t>改造，开展</w:t>
      </w:r>
      <w:r>
        <w:rPr>
          <w:rFonts w:hint="eastAsia"/>
          <w:b/>
          <w:bCs/>
        </w:rPr>
        <w:t>中心市场、综合市场等升级改造工程，</w:t>
      </w:r>
      <w:r>
        <w:rPr>
          <w:rFonts w:hint="eastAsia" w:ascii="仿宋" w:hAnsi="仿宋"/>
        </w:rPr>
        <w:t>加快</w:t>
      </w:r>
      <w:r>
        <w:rPr>
          <w:rFonts w:hint="eastAsia" w:ascii="仿宋" w:hAnsi="仿宋"/>
          <w:b/>
          <w:bCs/>
        </w:rPr>
        <w:t>城西水果肉菜综合市场、</w:t>
      </w:r>
      <w:r>
        <w:rPr>
          <w:rFonts w:hint="eastAsia"/>
          <w:b/>
          <w:bCs/>
        </w:rPr>
        <w:t>霖磐镇中心市场、玉滘镇综合市场、月城镇松山王肉菜市场等建设与改造步伐。</w:t>
      </w:r>
    </w:p>
    <w:p>
      <w:pPr>
        <w:spacing w:line="540" w:lineRule="exact"/>
        <w:ind w:firstLine="643"/>
        <w:rPr>
          <w:rFonts w:ascii="仿宋" w:hAnsi="仿宋"/>
        </w:rPr>
      </w:pPr>
      <w:r>
        <w:rPr>
          <w:rFonts w:hint="eastAsia" w:ascii="仿宋" w:hAnsi="仿宋"/>
          <w:b/>
          <w:bCs/>
        </w:rPr>
        <w:t>保护发展商业“老字号”。</w:t>
      </w:r>
      <w:r>
        <w:rPr>
          <w:rFonts w:hint="eastAsia" w:ascii="仿宋" w:hAnsi="仿宋"/>
        </w:rPr>
        <w:t>支持老字号引进现代经营理念、经营管理方式和生产工艺。鼓励和引导老字号建立健全现代企业制度或股份制改造。加大老字号品牌宣传推广力度，推动潮汕美食、农业特品、手工技艺特色老店发展，擦亮揭东潮汕牛肉、炒茶、粿条、糕点等特色“老字号”品牌的知名度，争取将“老字号”店铺纳入揭东文化旅游路线，促进传统商贸业与旅游业融合联动发展。加大老字号知识产权保护力度，积极保护具有自主知识产权的民族品牌。</w:t>
      </w:r>
    </w:p>
    <w:p>
      <w:pPr>
        <w:spacing w:line="540" w:lineRule="exact"/>
        <w:ind w:firstLine="643"/>
        <w:rPr>
          <w:rFonts w:ascii="仿宋" w:hAnsi="仿宋"/>
        </w:rPr>
      </w:pPr>
      <w:r>
        <w:rPr>
          <w:rFonts w:hint="eastAsia" w:ascii="仿宋" w:hAnsi="仿宋"/>
          <w:b/>
          <w:bCs/>
        </w:rPr>
        <w:t>实施专业市场升级改造。</w:t>
      </w:r>
      <w:r>
        <w:rPr>
          <w:rFonts w:hint="eastAsia" w:ascii="仿宋" w:hAnsi="仿宋"/>
        </w:rPr>
        <w:t>依托玉石、茶叶、竹笋等优势产业，推进揭东专业市场公共服务平台建设，加快构建展贸化、国际化的现代专业市场体系，助力揭东向现代商都、网络商都转型。实施一批专业市场仓储物流设施升级改造，推广应用物流、商流相分离的配送组织模式，提升专业市场配送功能，优化专业市场发展环境。加强重点集群商圈专业市场的园区化管理力度，规范市场经营和管理行为，对部分环境和治安影响大、经营不善的市场实施淘汰。</w:t>
      </w:r>
    </w:p>
    <w:p>
      <w:pPr>
        <w:spacing w:line="540" w:lineRule="exact"/>
        <w:ind w:firstLine="643"/>
        <w:rPr>
          <w:rFonts w:ascii="仿宋" w:hAnsi="仿宋"/>
        </w:rPr>
      </w:pPr>
      <w:r>
        <w:rPr>
          <w:rFonts w:hint="eastAsia" w:ascii="仿宋" w:hAnsi="仿宋"/>
          <w:b/>
          <w:bCs/>
        </w:rPr>
        <w:t>创新商贸流通基础设施建设。</w:t>
      </w:r>
      <w:r>
        <w:rPr>
          <w:rFonts w:hint="eastAsia" w:ascii="仿宋" w:hAnsi="仿宋"/>
        </w:rPr>
        <w:t>顺应网络经济发展趋势，积极争取取消或降低新建社区商业和综合服务设施面积占社区总建筑面积的比例。改进市场化商业设施建设引导方式，加强监测预警，定期发布大型商业设施供给信息，合理引导市场预期，避免盲目重复建设。</w:t>
      </w:r>
    </w:p>
    <w:p>
      <w:pPr>
        <w:pStyle w:val="4"/>
        <w:ind w:firstLine="643"/>
      </w:pPr>
      <w:r>
        <w:rPr>
          <w:rFonts w:hint="eastAsia"/>
        </w:rPr>
        <w:t>四、教育培训</w:t>
      </w:r>
    </w:p>
    <w:p>
      <w:pPr>
        <w:ind w:firstLine="643"/>
        <w:rPr>
          <w:b/>
          <w:bCs/>
        </w:rPr>
      </w:pPr>
      <w:r>
        <w:rPr>
          <w:rFonts w:hint="eastAsia"/>
          <w:b/>
          <w:bCs/>
        </w:rPr>
        <w:t>（一）定位和目标</w:t>
      </w:r>
    </w:p>
    <w:p>
      <w:pPr>
        <w:ind w:firstLine="640"/>
      </w:pPr>
      <w:r>
        <w:rPr>
          <w:rFonts w:hint="eastAsia"/>
        </w:rPr>
        <w:t>坚持社会化教育和制度化教育并举，不断壮大服务供给主体，发展形式多样的教育培训服务，满足与社会经济发展和人民生活水平提高相适应的人才培养和教育服务需求。到2020年，基本建成创新型开放式现代城市教育体系，力争将揭东打造成为较高水平人力资源强区和学习型城市，职业教育全日制在校生达12.5万人。</w:t>
      </w:r>
    </w:p>
    <w:p>
      <w:pPr>
        <w:ind w:firstLine="643"/>
        <w:rPr>
          <w:b/>
          <w:bCs/>
        </w:rPr>
      </w:pPr>
      <w:r>
        <w:rPr>
          <w:rFonts w:hint="eastAsia"/>
          <w:b/>
          <w:bCs/>
        </w:rPr>
        <w:t>（二）重点任务</w:t>
      </w:r>
    </w:p>
    <w:p>
      <w:pPr>
        <w:ind w:firstLine="643"/>
      </w:pPr>
      <w:r>
        <w:rPr>
          <w:rFonts w:hint="eastAsia"/>
          <w:b/>
          <w:bCs/>
        </w:rPr>
        <w:t>扩大优质教育资源供给。</w:t>
      </w:r>
      <w:r>
        <w:rPr>
          <w:rFonts w:hint="eastAsia"/>
        </w:rPr>
        <w:t>推进教育服务社会化，深化社会力量办学体制改革，积极探索教育服务新方式，推动服务主体多元化。优化对民办教育的财政补贴方式，加大资助力度，鼓励和吸引民间资本投入教育产业。按照公益普惠优质原则，积极发展学前教育。鼓励发展股份制、混合所有制职业院校，研究允许以资本、知识、技术、管理等要素参与办学。加强与国外、港澳台地区的教育交流与合作，借鉴国际先进教育理念，引进国际优质教育资源，提升揭东教育国际化水平。积极开展与国内外大学交流合作，探索推进揭东分校区建设。</w:t>
      </w:r>
    </w:p>
    <w:p>
      <w:pPr>
        <w:ind w:firstLine="643"/>
      </w:pPr>
      <w:r>
        <w:rPr>
          <w:rFonts w:hint="eastAsia"/>
          <w:b/>
          <w:bCs/>
        </w:rPr>
        <w:t>提升发展职业教育。</w:t>
      </w:r>
      <w:r>
        <w:rPr>
          <w:rFonts w:hint="eastAsia"/>
        </w:rPr>
        <w:t>加强职业教育基础能力建设，支持薄弱学校改善办学条件或转型发展，引导本地职业院校根据我区产业发展实际需要调整专业设置和布局。积极推广产教融合、校企合作、工学结合模式，大力推进高技能人才培训基地、公共实训基地、技能大师工作室等高技能人才服务平台建设，充分利用企业资源，培养更多的复合型实用型人才。</w:t>
      </w:r>
    </w:p>
    <w:p>
      <w:pPr>
        <w:ind w:firstLine="643"/>
      </w:pPr>
      <w:r>
        <w:rPr>
          <w:rFonts w:hint="eastAsia"/>
          <w:b/>
          <w:bCs/>
        </w:rPr>
        <w:t>广泛开展社区教育。</w:t>
      </w:r>
      <w:r>
        <w:rPr>
          <w:rFonts w:hint="eastAsia"/>
        </w:rPr>
        <w:t>进一步健全“区—街—社区”三级社区教育网络，探索揭东学习型城市建设。完善社区教育多元参与协商合作机制，支持社区教育机构整合资源，为社区居民提供人文艺术、养老保健、生活休闲、职业技能等方面的教育服务，推动社区教育常态化。</w:t>
      </w:r>
    </w:p>
    <w:p>
      <w:pPr>
        <w:ind w:firstLine="643"/>
      </w:pPr>
      <w:r>
        <w:rPr>
          <w:rFonts w:hint="eastAsia"/>
          <w:b/>
          <w:bCs/>
        </w:rPr>
        <w:t>推动服务方式网络化。</w:t>
      </w:r>
      <w:r>
        <w:rPr>
          <w:rFonts w:hint="eastAsia"/>
        </w:rPr>
        <w:t>加快教育培训信息化建设，鼓励互联网企业与社会教育机构根据市场需求开发数字教育资源，积极探索教育云服务解决方案，提供网络化教育服务。鼓励学校通过与互联网企业合作等方式，对接线上线下教育资源，探索教育公共服务供给新模式。</w:t>
      </w:r>
    </w:p>
    <w:p>
      <w:pPr>
        <w:ind w:firstLine="640"/>
      </w:pPr>
    </w:p>
    <w:p>
      <w:pPr>
        <w:ind w:firstLine="640"/>
      </w:pPr>
    </w:p>
    <w:p>
      <w:pPr>
        <w:spacing w:line="260" w:lineRule="exact"/>
        <w:ind w:firstLine="640"/>
        <w:rPr>
          <w:rFonts w:hint="eastAsia"/>
        </w:rPr>
      </w:pP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360" w:lineRule="exact"/>
              <w:ind w:firstLine="0" w:firstLineChars="0"/>
              <w:jc w:val="center"/>
              <w:rPr>
                <w:rFonts w:ascii="黑体" w:hAnsi="黑体" w:eastAsia="黑体"/>
              </w:rPr>
            </w:pPr>
            <w:r>
              <w:rPr>
                <w:rFonts w:hint="eastAsia" w:ascii="黑体" w:hAnsi="黑体" w:eastAsia="黑体"/>
                <w:sz w:val="28"/>
                <w:szCs w:val="18"/>
              </w:rPr>
              <w:t>专栏</w:t>
            </w:r>
            <w:r>
              <w:rPr>
                <w:rFonts w:ascii="黑体" w:hAnsi="黑体" w:eastAsia="黑体"/>
                <w:sz w:val="28"/>
                <w:szCs w:val="18"/>
              </w:rPr>
              <w:t>6</w:t>
            </w:r>
            <w:r>
              <w:rPr>
                <w:rFonts w:hint="eastAsia" w:ascii="黑体" w:hAnsi="黑体" w:eastAsia="黑体"/>
                <w:sz w:val="28"/>
                <w:szCs w:val="18"/>
              </w:rPr>
              <w:t xml:space="preserve"> 揭东区智慧教育工程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实施“揭东智慧教育大数据工程”“智慧课堂示范工程”“教育管理信息化提升工程”，建立优质数字教育资源共建和共享环境。推进教育资源公共服务平台建设。引入“平台+教育”服务模式，整合各类教育资源公共服务平台和支持系统，逐步实现资源平台、管理平台的互通、衔接与开放，建成揭东数字教育资源公共服务体系。融合众筹众创，实现数字资源、优秀师资、教育数据、信息红利的有效共享。</w:t>
            </w:r>
          </w:p>
        </w:tc>
      </w:tr>
    </w:tbl>
    <w:p>
      <w:pPr>
        <w:pStyle w:val="4"/>
        <w:ind w:firstLine="643"/>
      </w:pPr>
      <w:r>
        <w:rPr>
          <w:rFonts w:hint="eastAsia"/>
        </w:rPr>
        <w:t>五、体育服务</w:t>
      </w:r>
    </w:p>
    <w:p>
      <w:pPr>
        <w:ind w:firstLine="643"/>
        <w:rPr>
          <w:b/>
          <w:bCs/>
        </w:rPr>
      </w:pPr>
      <w:r>
        <w:rPr>
          <w:rFonts w:hint="eastAsia"/>
          <w:b/>
          <w:bCs/>
        </w:rPr>
        <w:t>（一）定位和目标</w:t>
      </w:r>
    </w:p>
    <w:p>
      <w:pPr>
        <w:ind w:firstLine="640"/>
      </w:pPr>
      <w:r>
        <w:rPr>
          <w:rFonts w:hint="eastAsia"/>
        </w:rPr>
        <w:t>大力推进群众体育与竞技体育协同发展，优化政府公共服务职能，充分发挥体育社会组织的主体作用，建立健全符合现代体育发展规律的运行机制，促进体育市场繁荣有序发展。到202</w:t>
      </w:r>
      <w:r>
        <w:t>5</w:t>
      </w:r>
      <w:r>
        <w:rPr>
          <w:rFonts w:hint="eastAsia"/>
        </w:rPr>
        <w:t>年，基本形成层次丰富、各具特色的体育服务业发展新格局，举办区级以上体育赛事不少于</w:t>
      </w:r>
      <w:r>
        <w:t>3</w:t>
      </w:r>
      <w:r>
        <w:rPr>
          <w:rFonts w:hint="eastAsia"/>
        </w:rPr>
        <w:t>项。</w:t>
      </w:r>
    </w:p>
    <w:p>
      <w:pPr>
        <w:ind w:firstLine="643"/>
        <w:rPr>
          <w:b/>
          <w:bCs/>
        </w:rPr>
      </w:pPr>
      <w:r>
        <w:rPr>
          <w:rFonts w:hint="eastAsia"/>
          <w:b/>
          <w:bCs/>
        </w:rPr>
        <w:t>（二）重点任务</w:t>
      </w:r>
    </w:p>
    <w:p>
      <w:pPr>
        <w:ind w:firstLine="640"/>
      </w:pPr>
      <w:r>
        <w:rPr>
          <w:rFonts w:hint="eastAsia"/>
        </w:rPr>
        <w:t>鼓励社会资本投入。积极吸引社会资本，推动公共体育投入多元化，全面提升体育服务企业的竞争力，促进经营方式向集团化、连锁化方向发展，着力打造一批优秀体育服务业骨干企业和特色体育服务产品，提高体育服务业的社会化和产业化水平。</w:t>
      </w:r>
    </w:p>
    <w:p>
      <w:pPr>
        <w:ind w:firstLine="640"/>
      </w:pPr>
      <w:r>
        <w:rPr>
          <w:rFonts w:hint="eastAsia"/>
        </w:rPr>
        <w:t>完善体育服务体系。积极提供适应中低收入群体需求的体育服务，合理引导高收入群体体育消费，加速形成门类齐全、结构合理的产业体系，重点培育健身休闲、竞赛表演、场馆服务、中介培训等体育服务业，促进康体结合，推动体育旅游、体育传媒、体育会展等相关业态融合发展。</w:t>
      </w:r>
    </w:p>
    <w:p>
      <w:pPr>
        <w:ind w:firstLine="640"/>
      </w:pPr>
      <w:r>
        <w:rPr>
          <w:rFonts w:hint="eastAsia"/>
        </w:rPr>
        <w:t>积极发展体育赛事。促进专业赛事发展，丰富业余赛事，完善以企业为主体的赛事市场开发和运作模式，推动办赛形式市场化和竞赛组织专业化。实施品牌战略，加强对体育组织、体育赛事、体育活动的名称、标志、版权等无形资产的开发和保护，培育和打造一批具有国际影响力的大型体育赛事。</w:t>
      </w:r>
    </w:p>
    <w:p>
      <w:pPr>
        <w:ind w:firstLine="640"/>
      </w:pPr>
      <w:r>
        <w:rPr>
          <w:rFonts w:hint="eastAsia"/>
        </w:rPr>
        <w:t>完善产业支撑服务。加快建设体育产业技术平台，积极推进科技成果转化和技术转移。支持高等院校和职业培训机构设置相关专业课程，培养体育产业专业人才。完善健身教练、体育经纪人等职业标准和管理规范，强化行业自律。加强珠三角、深港澳体育交流合作，推动体育服务企业形成区域战略联盟，提高整体竞争力。</w:t>
      </w:r>
    </w:p>
    <w:p>
      <w:pPr>
        <w:pStyle w:val="4"/>
        <w:ind w:firstLine="643"/>
      </w:pPr>
      <w:r>
        <w:rPr>
          <w:rFonts w:hint="eastAsia"/>
        </w:rPr>
        <w:t>六、家政服务</w:t>
      </w:r>
    </w:p>
    <w:p>
      <w:pPr>
        <w:ind w:firstLine="643"/>
        <w:rPr>
          <w:b/>
          <w:bCs/>
        </w:rPr>
      </w:pPr>
      <w:r>
        <w:rPr>
          <w:rFonts w:hint="eastAsia"/>
          <w:b/>
          <w:bCs/>
        </w:rPr>
        <w:t>（一）定位和目标</w:t>
      </w:r>
    </w:p>
    <w:p>
      <w:pPr>
        <w:ind w:firstLine="640"/>
      </w:pPr>
      <w:r>
        <w:rPr>
          <w:rFonts w:hint="eastAsia"/>
        </w:rPr>
        <w:t>充分发挥家政服务体系建设产城乡融合发展示范引领作用，以家庭为服务对象，以社区为重要依托，创新家庭服务发展模式，实现人力资源、信息资源、公共服务资源的优化配置，构建多层次、多形式、全覆盖的家政服务体系。到202</w:t>
      </w:r>
      <w:r>
        <w:t>5</w:t>
      </w:r>
      <w:r>
        <w:rPr>
          <w:rFonts w:hint="eastAsia"/>
        </w:rPr>
        <w:t>年，家政服务供给规模和服务质量基本满足居民生活服务需求。</w:t>
      </w:r>
    </w:p>
    <w:p>
      <w:pPr>
        <w:ind w:firstLine="640"/>
        <w:rPr>
          <w:rFonts w:hint="eastAsia"/>
        </w:rPr>
      </w:pPr>
    </w:p>
    <w:p>
      <w:pPr>
        <w:ind w:firstLine="643"/>
        <w:rPr>
          <w:b/>
          <w:bCs/>
        </w:rPr>
      </w:pPr>
      <w:r>
        <w:rPr>
          <w:rFonts w:hint="eastAsia"/>
          <w:b/>
          <w:bCs/>
        </w:rPr>
        <w:t>（二）重要举措</w:t>
      </w:r>
    </w:p>
    <w:p>
      <w:pPr>
        <w:ind w:firstLine="643"/>
      </w:pPr>
      <w:r>
        <w:rPr>
          <w:rFonts w:hint="eastAsia"/>
          <w:b/>
          <w:bCs/>
        </w:rPr>
        <w:t>提高服务便利化水平。</w:t>
      </w:r>
      <w:r>
        <w:rPr>
          <w:rFonts w:hint="eastAsia"/>
        </w:rPr>
        <w:t>完善社区服务网点，支持大型家庭服务企业运用连锁经营等方式驻区设点，多方式提供婴幼儿看护、护理、美容美发、洗染、家用电器及其他日用品修理、房地产中介、房屋租赁经营、物业管理、搬家保洁、家用车辆保养维修等家庭服务。</w:t>
      </w:r>
    </w:p>
    <w:p>
      <w:pPr>
        <w:ind w:firstLine="643"/>
      </w:pPr>
      <w:r>
        <w:rPr>
          <w:rFonts w:hint="eastAsia"/>
          <w:b/>
          <w:bCs/>
        </w:rPr>
        <w:t>推进服务规范化发展。</w:t>
      </w:r>
      <w:r>
        <w:rPr>
          <w:rFonts w:hint="eastAsia"/>
        </w:rPr>
        <w:t>开展行业诚信建设，建立行业信用数据档案，实施家庭服务机构和从业人员诚信服务承诺制度。加快标准规范建设，鼓励协会和企业积极参与行业标准和地方标准的制修订工作。定期开展对家庭服务企业用工、经营和市场行为的检查，推动行业自律，促进市场健康发展。</w:t>
      </w:r>
    </w:p>
    <w:p>
      <w:pPr>
        <w:ind w:firstLine="643"/>
      </w:pPr>
      <w:r>
        <w:rPr>
          <w:rFonts w:hint="eastAsia"/>
          <w:b/>
          <w:bCs/>
        </w:rPr>
        <w:t>加强行业职业化建设。</w:t>
      </w:r>
      <w:r>
        <w:rPr>
          <w:rFonts w:hint="eastAsia"/>
        </w:rPr>
        <w:t>构建市场化职业培训平台，建立职业培训示范基地，实施专项培训工程，完善从业人员职业化培训体系。加强家庭服务类专项技能开发，建立职业培训结业与技能鉴定同步实施制度，鼓励从业人员积极参加培训和鉴定考核。维护从业人员劳动保障权益，稳定家庭服务业职业队伍。</w:t>
      </w:r>
    </w:p>
    <w:p>
      <w:pPr>
        <w:spacing w:after="156" w:afterLines="50"/>
        <w:ind w:firstLine="643"/>
      </w:pPr>
      <w:r>
        <w:rPr>
          <w:rFonts w:hint="eastAsia"/>
          <w:b/>
          <w:bCs/>
        </w:rPr>
        <w:t>促进服务网络化发展。</w:t>
      </w:r>
      <w:r>
        <w:rPr>
          <w:rFonts w:hint="eastAsia"/>
        </w:rPr>
        <w:t>整合政府现有资源，进一步健全完善、充实升级家庭服务业综合信息平台功能，加强公益性信息服务和信息共享，为家庭和家庭服务企业提供更便利的供需对接服务。鼓励家庭服务企业搭建信息服务平台，创新服务模式，健全服务网络，实现线上线下互促发展。</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360" w:lineRule="exact"/>
              <w:ind w:firstLine="0" w:firstLineChars="0"/>
              <w:jc w:val="center"/>
              <w:rPr>
                <w:rFonts w:ascii="黑体" w:hAnsi="黑体" w:eastAsia="黑体"/>
                <w:b/>
                <w:bCs/>
                <w:sz w:val="28"/>
                <w:szCs w:val="18"/>
              </w:rPr>
            </w:pPr>
            <w:r>
              <w:rPr>
                <w:rFonts w:hint="eastAsia" w:ascii="黑体" w:hAnsi="黑体" w:eastAsia="黑体"/>
                <w:b/>
                <w:bCs/>
                <w:sz w:val="28"/>
                <w:szCs w:val="18"/>
              </w:rPr>
              <w:t>专栏</w:t>
            </w:r>
            <w:r>
              <w:rPr>
                <w:rFonts w:ascii="黑体" w:hAnsi="黑体" w:eastAsia="黑体"/>
                <w:b/>
                <w:bCs/>
                <w:sz w:val="28"/>
                <w:szCs w:val="18"/>
              </w:rPr>
              <w:t>7</w:t>
            </w:r>
            <w:r>
              <w:rPr>
                <w:rFonts w:hint="eastAsia" w:ascii="黑体" w:hAnsi="黑体" w:eastAsia="黑体"/>
                <w:b/>
                <w:bCs/>
                <w:sz w:val="28"/>
                <w:szCs w:val="18"/>
              </w:rPr>
              <w:t xml:space="preserve"> 揭东“南粤家政”工程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62" w:beforeLines="20" w:after="62" w:afterLines="20" w:line="360" w:lineRule="exact"/>
              <w:ind w:left="64" w:leftChars="20" w:right="64" w:rightChars="20" w:firstLine="560"/>
              <w:rPr>
                <w:rFonts w:ascii="楷体" w:hAnsi="楷体" w:eastAsia="楷体"/>
                <w:sz w:val="28"/>
                <w:szCs w:val="18"/>
              </w:rPr>
            </w:pPr>
            <w:r>
              <w:rPr>
                <w:rFonts w:hint="eastAsia" w:ascii="楷体" w:hAnsi="楷体" w:eastAsia="楷体"/>
                <w:sz w:val="28"/>
                <w:szCs w:val="18"/>
              </w:rPr>
              <w:t>聚焦母婴、居家、养老、医护四大领域，创新开展“南粤家政”培训，在继续做好揭东“埔田月嫂”品牌基础上，发展一批服务等特色品牌，努力培育一支均衡发展、结构合理的家政服务队伍和一批家政服务优质企业，打造地方服务品牌，推动技能人才涌现聚集。</w:t>
            </w:r>
          </w:p>
        </w:tc>
      </w:tr>
    </w:tbl>
    <w:p>
      <w:pPr>
        <w:pStyle w:val="3"/>
      </w:pPr>
      <w:bookmarkStart w:id="74" w:name="_Toc75367593"/>
      <w:bookmarkStart w:id="75" w:name="_Toc66112141"/>
      <w:r>
        <w:rPr>
          <w:rFonts w:hint="eastAsia"/>
        </w:rPr>
        <w:t>第三节 创新发展新兴服务业</w:t>
      </w:r>
      <w:bookmarkEnd w:id="74"/>
    </w:p>
    <w:bookmarkEnd w:id="75"/>
    <w:p>
      <w:pPr>
        <w:pStyle w:val="4"/>
        <w:ind w:firstLine="643"/>
      </w:pPr>
      <w:bookmarkStart w:id="76" w:name="_Toc66112135"/>
      <w:r>
        <w:rPr>
          <w:rFonts w:hint="eastAsia"/>
        </w:rPr>
        <w:t>一、节能环保服务</w:t>
      </w:r>
      <w:bookmarkEnd w:id="76"/>
    </w:p>
    <w:p>
      <w:pPr>
        <w:ind w:firstLine="643"/>
        <w:rPr>
          <w:b/>
          <w:bCs/>
        </w:rPr>
      </w:pPr>
      <w:r>
        <w:rPr>
          <w:rFonts w:hint="eastAsia"/>
          <w:b/>
          <w:bCs/>
        </w:rPr>
        <w:t>（一）定位和目标</w:t>
      </w:r>
    </w:p>
    <w:p>
      <w:pPr>
        <w:ind w:firstLine="640"/>
      </w:pPr>
      <w:r>
        <w:rPr>
          <w:rFonts w:hint="eastAsia"/>
        </w:rPr>
        <w:t>突出绿色低碳发展战略，广泛应用节能环保技术，创新产业发展理念，丰富服务形式和内容，提升服务能力和效益，加快发展低碳经济，充分释放绿色发展巨大潜能。到20</w:t>
      </w:r>
      <w:r>
        <w:t>25</w:t>
      </w:r>
      <w:r>
        <w:rPr>
          <w:rFonts w:hint="eastAsia"/>
        </w:rPr>
        <w:t>年，基本建立市场活跃、特色鲜明、规范有序的节能环保服务体系，将揭东打造成为全国生态环境优美的绿色低碳之城，万元GDP能耗完成省市下达任务。</w:t>
      </w:r>
    </w:p>
    <w:p>
      <w:pPr>
        <w:ind w:firstLine="643"/>
        <w:rPr>
          <w:b/>
          <w:bCs/>
        </w:rPr>
      </w:pPr>
      <w:r>
        <w:rPr>
          <w:rFonts w:hint="eastAsia"/>
          <w:b/>
          <w:bCs/>
        </w:rPr>
        <w:t>（二）重点措施</w:t>
      </w:r>
    </w:p>
    <w:p>
      <w:pPr>
        <w:ind w:firstLine="643"/>
      </w:pPr>
      <w:r>
        <w:rPr>
          <w:rFonts w:hint="eastAsia"/>
          <w:b/>
          <w:bCs/>
        </w:rPr>
        <w:t>大力发展节能服务。</w:t>
      </w:r>
      <w:r>
        <w:rPr>
          <w:rFonts w:hint="eastAsia"/>
        </w:rPr>
        <w:t>推行合同能源管理，建设“一站式”合同能源管理综合服务平台，鼓励提供整体节能服务，促进用能单位采用合同能源管理方式实施节能改造。支持大型重点用能单位依托自身技术优势和管理经验，开展专业化节能服务。推动发展节能减排投融资、能源审计、清洁生产审核、节能产品认证、节能评估等第三方服务。</w:t>
      </w:r>
    </w:p>
    <w:p>
      <w:pPr>
        <w:ind w:firstLine="643"/>
      </w:pPr>
      <w:r>
        <w:rPr>
          <w:rFonts w:hint="eastAsia"/>
          <w:b/>
          <w:bCs/>
        </w:rPr>
        <w:t>积极发展环保服务。</w:t>
      </w:r>
      <w:r>
        <w:rPr>
          <w:rFonts w:hint="eastAsia"/>
        </w:rPr>
        <w:t>重点发展集研发、设计、制造、工程总承包、运营及投融资于一体的综合环境服务。在城镇污水处理、生活垃圾处理等领域积极推进合同环境服务和环境治理特许经营模式。支持发展环境咨询、生态环境修复、环境风险与损害评价、环境审计、绿色认证、环境培训等新兴服务。</w:t>
      </w:r>
    </w:p>
    <w:p>
      <w:pPr>
        <w:ind w:firstLine="643"/>
      </w:pPr>
      <w:r>
        <w:rPr>
          <w:rFonts w:hint="eastAsia"/>
          <w:b/>
          <w:bCs/>
        </w:rPr>
        <w:t>推动发展再制造服务。</w:t>
      </w:r>
      <w:r>
        <w:rPr>
          <w:rFonts w:hint="eastAsia"/>
        </w:rPr>
        <w:t>依托揭东经济开发区高质量、中德金属生态城先进装备制造及循环经济发展，积极培育提供资源节约、废物管理、资源化利用等一体化服务的循环经济专业化服务公司。大力发展再制造专业技术服务，健全再生资源回收体系，建立再制造旧件回收、产品营销、溯源等信息化管理系统和废弃物逆向物流交易平台，促进资源循环利用。</w:t>
      </w:r>
    </w:p>
    <w:p>
      <w:pPr>
        <w:ind w:firstLine="643"/>
      </w:pPr>
      <w:r>
        <w:rPr>
          <w:rFonts w:hint="eastAsia"/>
          <w:b/>
          <w:bCs/>
        </w:rPr>
        <w:t>支持发展量化交易市场。</w:t>
      </w:r>
      <w:r>
        <w:rPr>
          <w:rFonts w:hint="eastAsia"/>
        </w:rPr>
        <w:t>建立健全用能权、用水权、排污权、碳排放权初始分配和管理制度，积极探索建立环境成本合理负担机制、污染减排激励约束机制和市场化节能交易机制。深入推进碳排放权交易试点，扩大碳排放权交易领域和范围，打造区域性碳排放权交易中心。研究开展排污权交易。</w:t>
      </w:r>
    </w:p>
    <w:p>
      <w:pPr>
        <w:pStyle w:val="4"/>
        <w:ind w:firstLine="643"/>
      </w:pPr>
      <w:r>
        <w:rPr>
          <w:rFonts w:hint="eastAsia"/>
        </w:rPr>
        <w:t>二、信息服务</w:t>
      </w:r>
    </w:p>
    <w:p>
      <w:pPr>
        <w:ind w:firstLine="643"/>
        <w:rPr>
          <w:b/>
          <w:bCs/>
        </w:rPr>
      </w:pPr>
      <w:r>
        <w:rPr>
          <w:rFonts w:hint="eastAsia"/>
          <w:b/>
          <w:bCs/>
        </w:rPr>
        <w:t>（一）定位和目标</w:t>
      </w:r>
    </w:p>
    <w:p>
      <w:pPr>
        <w:ind w:firstLine="640"/>
      </w:pPr>
      <w:r>
        <w:rPr>
          <w:rFonts w:hint="eastAsia"/>
        </w:rPr>
        <w:t>巩固基础性信息传输服务优势，推动大数据、云计算、物联网及移动互联网等新一代信息技术广泛应用，引导信息服务向市场、设计、生产等环节渗透，培育信息服务新业态，助推产业信息化和城市智慧化发展。到202</w:t>
      </w:r>
      <w:r>
        <w:t>5</w:t>
      </w:r>
      <w:r>
        <w:rPr>
          <w:rFonts w:hint="eastAsia"/>
        </w:rPr>
        <w:t>年，揭东信息技术应用水平明显提高，产业支撑能力显著增强，信息传输、软件和信息技术服务业增加值占GDP比重达1</w:t>
      </w:r>
      <w:r>
        <w:t>.8</w:t>
      </w:r>
      <w:r>
        <w:rPr>
          <w:rFonts w:hint="eastAsia"/>
        </w:rPr>
        <w:t>%。</w:t>
      </w:r>
    </w:p>
    <w:p>
      <w:pPr>
        <w:ind w:firstLine="643"/>
        <w:rPr>
          <w:b/>
          <w:bCs/>
        </w:rPr>
      </w:pPr>
      <w:r>
        <w:rPr>
          <w:rFonts w:hint="eastAsia"/>
          <w:b/>
          <w:bCs/>
        </w:rPr>
        <w:t>（二）重点任务</w:t>
      </w:r>
    </w:p>
    <w:p>
      <w:pPr>
        <w:ind w:firstLine="643"/>
      </w:pPr>
      <w:r>
        <w:rPr>
          <w:rFonts w:hint="eastAsia"/>
          <w:b/>
          <w:bCs/>
        </w:rPr>
        <w:t>推动软件产业高端发展。</w:t>
      </w:r>
      <w:r>
        <w:rPr>
          <w:rFonts w:hint="eastAsia"/>
        </w:rPr>
        <w:t>鼓励嵌入式软件企业和整机制造企业加强合作，提高对终端设备的配套能力。推动具有行业特色的工业软件研发，促进制造企业实现研发设计及装备数字化、生产过程柔性化和智能化。发展云计算中间件、网络中间件、信息集成中间件、商业智能中间件、移动计算中间件、大数据平台中间件等中间件，推动中间件向操作系统和数据库两端延伸。</w:t>
      </w:r>
    </w:p>
    <w:p>
      <w:pPr>
        <w:ind w:firstLine="643"/>
      </w:pPr>
      <w:r>
        <w:rPr>
          <w:rFonts w:hint="eastAsia"/>
          <w:b/>
          <w:bCs/>
        </w:rPr>
        <w:t>培育新型信息服务产业。</w:t>
      </w:r>
      <w:r>
        <w:rPr>
          <w:rFonts w:hint="eastAsia"/>
        </w:rPr>
        <w:t>探索发展以大数据应用为基础的新业务与新服务。突破发展物联网相关软件及系统关键、共性技术，推动物联网规模化应用。积极发展基础设施即服务、平台即服务、软件即服务和面向制造业的云计算服务。鼓励发展空间地理信息服务业务，推进空间地理信息资源的增值开发和商业化应用。</w:t>
      </w:r>
    </w:p>
    <w:p>
      <w:pPr>
        <w:ind w:firstLine="643"/>
      </w:pPr>
      <w:r>
        <w:rPr>
          <w:rFonts w:hint="eastAsia"/>
          <w:b/>
          <w:bCs/>
        </w:rPr>
        <w:t>增强信息服务渗透功能。</w:t>
      </w:r>
      <w:r>
        <w:rPr>
          <w:rFonts w:hint="eastAsia"/>
        </w:rPr>
        <w:t>拓展信息技术应用领域，进一步强化信息服务与传统制造、交通运输、商贸、旅游等产业融合发展。围绕城市管理精细化、科学化和规范化要求，大力推动信息技术在城市规划、建设和运行管理等方面深度应用。</w:t>
      </w:r>
    </w:p>
    <w:p>
      <w:pPr>
        <w:ind w:firstLine="643"/>
      </w:pPr>
      <w:r>
        <w:rPr>
          <w:rFonts w:hint="eastAsia"/>
          <w:b/>
          <w:bCs/>
        </w:rPr>
        <w:t>推进信息基础设施建设。</w:t>
      </w:r>
      <w:r>
        <w:rPr>
          <w:rFonts w:hint="eastAsia"/>
        </w:rPr>
        <w:t>构建高速骨干光纤网络，实施千兆光网城市建设，实施百兆光纤进农村行动。加快高速光网、IPv6、5G等信息基础设施建设，建成高速、移动、安全、泛在的新一代信息基础设施网络，加快5G网络等信息基础设施建设和商用步伐。加快新型信息技术与产业深度融合，促进生产智能化、经营网络化、服务远程化，打造一批互联网优势产业生态圈、服务创新云平台，形成以信息化为创新要素的经济发展新形态。推进数字社会、数字乡村建设，加快城乡基础设施数字化转型，加快推动水利、公路、电力、冷链物流、农业生产加工等基础设施的数字化、智能化转型，大幅提升城乡网络设施水平，加强基础设施共建共享。</w:t>
      </w:r>
    </w:p>
    <w:p>
      <w:pPr>
        <w:pStyle w:val="4"/>
        <w:ind w:firstLine="643"/>
      </w:pPr>
      <w:bookmarkStart w:id="77" w:name="_Toc66112139"/>
      <w:r>
        <w:rPr>
          <w:rFonts w:hint="eastAsia"/>
        </w:rPr>
        <w:t>三、健康</w:t>
      </w:r>
      <w:bookmarkEnd w:id="77"/>
      <w:r>
        <w:rPr>
          <w:rFonts w:hint="eastAsia"/>
        </w:rPr>
        <w:t>服务</w:t>
      </w:r>
    </w:p>
    <w:p>
      <w:pPr>
        <w:ind w:firstLine="643"/>
        <w:rPr>
          <w:b/>
          <w:bCs/>
        </w:rPr>
      </w:pPr>
      <w:r>
        <w:rPr>
          <w:rFonts w:hint="eastAsia"/>
          <w:b/>
          <w:bCs/>
        </w:rPr>
        <w:t>（一）定位和目标</w:t>
      </w:r>
    </w:p>
    <w:p>
      <w:pPr>
        <w:ind w:firstLine="640"/>
      </w:pPr>
      <w:r>
        <w:rPr>
          <w:rFonts w:hint="eastAsia"/>
        </w:rPr>
        <w:t>围绕提升全民健康素质和水平的长远目标，适应健康消费由单一治疗型向疾病预防型、健康促进型转变的需求，加快关键领域改革，不断激发市场活力，优化服务供给模式，壮大健康服务业发展规模。到202</w:t>
      </w:r>
      <w:r>
        <w:t>5</w:t>
      </w:r>
      <w:r>
        <w:rPr>
          <w:rFonts w:hint="eastAsia"/>
        </w:rPr>
        <w:t>年，基本建立覆盖全生命周期、业态丰富、结构合理的健康服务体系，居民平均预期寿命达到81岁。</w:t>
      </w:r>
    </w:p>
    <w:p>
      <w:pPr>
        <w:ind w:firstLine="643"/>
        <w:rPr>
          <w:b/>
          <w:bCs/>
        </w:rPr>
      </w:pPr>
      <w:r>
        <w:rPr>
          <w:rFonts w:hint="eastAsia"/>
          <w:b/>
          <w:bCs/>
        </w:rPr>
        <w:t>（二）重点任务</w:t>
      </w:r>
    </w:p>
    <w:p>
      <w:pPr>
        <w:ind w:firstLine="643"/>
      </w:pPr>
      <w:r>
        <w:rPr>
          <w:rFonts w:hint="eastAsia"/>
          <w:b/>
          <w:bCs/>
        </w:rPr>
        <w:t>加快形成多元化办医格局。</w:t>
      </w:r>
      <w:r>
        <w:rPr>
          <w:rFonts w:hint="eastAsia"/>
        </w:rPr>
        <w:t>完善我区医疗机构设置规划，全面放开医疗市场，取消社会办医的数量和选址限制。支持社会资本投资设立医疗集团总部。推行医师执业区域注册，完善诚信执业制度，推动多点执业。推进公立医院所有权与经营权分离，支持办医责任主体委托名校、名院合作运营。</w:t>
      </w:r>
    </w:p>
    <w:p>
      <w:pPr>
        <w:ind w:firstLine="643"/>
      </w:pPr>
      <w:r>
        <w:rPr>
          <w:rFonts w:hint="eastAsia"/>
          <w:b/>
          <w:bCs/>
        </w:rPr>
        <w:t>多样化发展健康服务。</w:t>
      </w:r>
      <w:r>
        <w:rPr>
          <w:rFonts w:hint="eastAsia"/>
        </w:rPr>
        <w:t>鼓励健康体检、健康咨询等服务机构连锁化经营，培育发展专业化、规范化的心理健康服务机构，完善家庭医生签约服务筹资和付费机制。支持社会力量发展医疗服务评价、健康市场调查和独立医学检验、影像、病理诊断等第三方健康服务机构。加快发展互联网医疗挂号、互联网联合会诊、互联网健康管理等健康服务新模式。</w:t>
      </w:r>
    </w:p>
    <w:p>
      <w:pPr>
        <w:ind w:firstLine="643"/>
      </w:pPr>
      <w:r>
        <w:rPr>
          <w:rFonts w:hint="eastAsia"/>
          <w:b/>
          <w:bCs/>
        </w:rPr>
        <w:t>着力发展中医药健康服务。</w:t>
      </w:r>
      <w:r>
        <w:rPr>
          <w:rFonts w:hint="eastAsia"/>
        </w:rPr>
        <w:t>创新服务技术手段，丰富服务产品种类，培养一批知名中医药养生保健服务连锁机构，规范服务行为。鼓励设立中医特色康复馆或疗养院，开展中医健康管理、体检和评估服务，推广太极拳、健身气功等中医传统运动。大力推进中医药服务贸易，扩大中医药产品、技术和服务出口。</w:t>
      </w:r>
    </w:p>
    <w:p>
      <w:pPr>
        <w:ind w:firstLine="643"/>
      </w:pPr>
      <w:r>
        <w:rPr>
          <w:rFonts w:hint="eastAsia"/>
          <w:b/>
          <w:bCs/>
        </w:rPr>
        <w:t>积极发展健康保险。</w:t>
      </w:r>
      <w:r>
        <w:rPr>
          <w:rFonts w:hint="eastAsia"/>
        </w:rPr>
        <w:t>鼓励商业保险公司发展多样化、多层次、规范化的健康保险产品和服务，形成与基本医疗保险相衔接的商业保险体系。着力开展长期护理、失能收入损失、医疗责任等医疗保险及高龄老人意外险等老年人保险。建立商业保险公司与医疗、护理等机构的合作机制，探索通过政府购买服务等方式委托有资质的商业保险公司开展部分医疗保险经办服务。</w:t>
      </w:r>
    </w:p>
    <w:p>
      <w:pPr>
        <w:pStyle w:val="4"/>
        <w:ind w:firstLine="643"/>
      </w:pPr>
      <w:r>
        <w:rPr>
          <w:rFonts w:hint="eastAsia"/>
        </w:rPr>
        <w:t>四、养老服务</w:t>
      </w:r>
    </w:p>
    <w:p>
      <w:pPr>
        <w:ind w:firstLine="643"/>
        <w:rPr>
          <w:b/>
          <w:bCs/>
        </w:rPr>
      </w:pPr>
      <w:r>
        <w:rPr>
          <w:rFonts w:hint="eastAsia"/>
          <w:b/>
          <w:bCs/>
        </w:rPr>
        <w:t>（一）定位和目标</w:t>
      </w:r>
    </w:p>
    <w:p>
      <w:pPr>
        <w:ind w:firstLine="640"/>
      </w:pPr>
      <w:r>
        <w:rPr>
          <w:rFonts w:hint="eastAsia"/>
        </w:rPr>
        <w:t>以满足日益增长的多样化养老服务需求为出发点和落脚点，加快培育养老服务供应商，转变养老服务方式，丰富养老服务产品，扩大养老服务供给，提升养老服务水平。到202</w:t>
      </w:r>
      <w:r>
        <w:t>5</w:t>
      </w:r>
      <w:r>
        <w:rPr>
          <w:rFonts w:hint="eastAsia"/>
        </w:rPr>
        <w:t>年，基本建成养老服务体系健全、产业规模质量领先、体制机制全面创新、社会活力充分激发的老年友好型城市，新增养老床位3000张。</w:t>
      </w:r>
    </w:p>
    <w:p>
      <w:pPr>
        <w:ind w:firstLine="643"/>
        <w:rPr>
          <w:b/>
          <w:bCs/>
        </w:rPr>
      </w:pPr>
      <w:r>
        <w:rPr>
          <w:rFonts w:hint="eastAsia"/>
          <w:b/>
          <w:bCs/>
        </w:rPr>
        <w:t>（二）重点任务</w:t>
      </w:r>
    </w:p>
    <w:p>
      <w:pPr>
        <w:ind w:firstLine="643"/>
      </w:pPr>
      <w:r>
        <w:rPr>
          <w:rFonts w:hint="eastAsia"/>
          <w:b/>
          <w:bCs/>
        </w:rPr>
        <w:t>支持各类资本投入</w:t>
      </w:r>
      <w:r>
        <w:rPr>
          <w:rFonts w:hint="eastAsia"/>
        </w:rPr>
        <w:t>。加快公办养老机构体制改革，探索引入基金会、社会组织等多元主体。完善政府购买服务政策，引导社会力量举办养老机构，通过公建民营等方式鼓励社会资本进入养老服务业。加强国际交流合作，吸引境外资本投资，引进先进经营理念，提升养老服务能力与水平。</w:t>
      </w:r>
    </w:p>
    <w:p>
      <w:pPr>
        <w:ind w:firstLine="643"/>
      </w:pPr>
      <w:r>
        <w:rPr>
          <w:rFonts w:hint="eastAsia"/>
          <w:b/>
          <w:bCs/>
        </w:rPr>
        <w:t>完善服务提供渠道。</w:t>
      </w:r>
      <w:r>
        <w:rPr>
          <w:rFonts w:hint="eastAsia"/>
        </w:rPr>
        <w:t>健全以居家为基础、社区为依托、机构为补充的多层次养老服务供给体系。加快建设便捷性社区养老服务站点，鼓励社区康复中心增强养老功能。推动供养型、服务型养老服务机构建设，建立养老创新服务中心。探索本地及区域间养老协作，积极发展异地养老基地。</w:t>
      </w:r>
    </w:p>
    <w:p>
      <w:pPr>
        <w:ind w:firstLine="643"/>
      </w:pPr>
      <w:r>
        <w:rPr>
          <w:rFonts w:hint="eastAsia"/>
          <w:b/>
          <w:bCs/>
        </w:rPr>
        <w:t>丰富养老服务业态。</w:t>
      </w:r>
      <w:r>
        <w:rPr>
          <w:rFonts w:hint="eastAsia"/>
        </w:rPr>
        <w:t>促进养老服务与相关产业融合创新，推动发展基本生活照料、康复护理、精神慰藉、文化服务、紧急救援、临终关怀等领域养老服务。支持发展老年教育，扩大老年教育资源供给，促进养教结合。鼓励社会组织开展养老服务教育培训、研究交流、咨询评估和第三方认证等服务。</w:t>
      </w:r>
    </w:p>
    <w:p>
      <w:pPr>
        <w:ind w:firstLine="643"/>
      </w:pPr>
      <w:r>
        <w:rPr>
          <w:rFonts w:hint="eastAsia"/>
          <w:b/>
          <w:bCs/>
        </w:rPr>
        <w:t>创新养老服务模式。</w:t>
      </w:r>
      <w:r>
        <w:rPr>
          <w:rFonts w:hint="eastAsia"/>
        </w:rPr>
        <w:t>在生活照顾、医疗护理、精神慰藉等方面，根据老年人不同的健康状况和经济承受能力，建立分阶段、分层次、分年龄、分身体状况的养老服务模式。支持社会企业和专业机构运用互联网和物联网等技术创新居家养老服务方式，发展老年电子商务，建设居家养老服务平台。</w:t>
      </w:r>
    </w:p>
    <w:p>
      <w:pPr>
        <w:pStyle w:val="3"/>
      </w:pPr>
      <w:bookmarkStart w:id="78" w:name="_Toc66112146"/>
      <w:bookmarkStart w:id="79" w:name="_Toc75367594"/>
      <w:r>
        <w:rPr>
          <w:rFonts w:hint="eastAsia"/>
        </w:rPr>
        <w:t>第四节 促进服务业跨界融合发展</w:t>
      </w:r>
      <w:bookmarkEnd w:id="78"/>
      <w:bookmarkEnd w:id="79"/>
    </w:p>
    <w:p>
      <w:pPr>
        <w:pStyle w:val="4"/>
        <w:ind w:firstLine="643"/>
      </w:pPr>
      <w:bookmarkStart w:id="80" w:name="_Toc66112147"/>
      <w:r>
        <w:rPr>
          <w:rFonts w:hint="eastAsia"/>
        </w:rPr>
        <w:t>一、推进服务业与制造业融合</w:t>
      </w:r>
      <w:bookmarkEnd w:id="80"/>
    </w:p>
    <w:p>
      <w:pPr>
        <w:ind w:firstLine="643"/>
      </w:pPr>
      <w:r>
        <w:rPr>
          <w:rFonts w:hint="eastAsia"/>
          <w:b/>
          <w:bCs/>
        </w:rPr>
        <w:t>推动金融业与制造业融合发展。</w:t>
      </w:r>
      <w:r>
        <w:rPr>
          <w:rFonts w:hint="eastAsia"/>
        </w:rPr>
        <w:t>加快提升金融商务、综合性服务等类集聚区的投融资能力，为工业园区发展提供投融资服务。鼓励制造业企业进入产品研发、物流商贸、售后服务等上下游产业领域，实现资金流的跨产业良性循环。</w:t>
      </w:r>
    </w:p>
    <w:p>
      <w:pPr>
        <w:ind w:firstLine="643"/>
      </w:pPr>
      <w:r>
        <w:rPr>
          <w:rFonts w:hint="eastAsia"/>
          <w:b/>
          <w:bCs/>
        </w:rPr>
        <w:t>推动技术服务、文化创意与制造业融合发展。</w:t>
      </w:r>
      <w:r>
        <w:rPr>
          <w:rFonts w:hint="eastAsia"/>
        </w:rPr>
        <w:t>增强科技服务、文化创意、综合性服务等类集聚区的技术服务功能，为制造业提供更多的研发设计、检验检测、咨询管理等服务产品。推动产业转型升级过程中的服务需求释放，为科技研发、文化创意和设计服务等企业提供创新导向，进一步丰富集聚区的服务产品体系，增强竞争力。</w:t>
      </w:r>
    </w:p>
    <w:p>
      <w:pPr>
        <w:ind w:firstLine="643"/>
      </w:pPr>
      <w:r>
        <w:rPr>
          <w:rFonts w:hint="eastAsia"/>
          <w:b/>
          <w:bCs/>
        </w:rPr>
        <w:t>推动商务会展与制造业融合发展。</w:t>
      </w:r>
      <w:r>
        <w:rPr>
          <w:rFonts w:hint="eastAsia"/>
        </w:rPr>
        <w:t>金融商务、软件与信息服务等类集聚区为制造企业提供可行性研究、企业文化建设与宣传、企业管理等管理服务；工业园区的精细化管理需求扩大，推动服务业企业统一建设管理信息服务平台，开发应用面向多领域的大数据管理系统，实现资源共享，共同发展。</w:t>
      </w:r>
    </w:p>
    <w:p>
      <w:pPr>
        <w:ind w:firstLine="643"/>
      </w:pPr>
      <w:r>
        <w:rPr>
          <w:rFonts w:hint="eastAsia"/>
          <w:b/>
          <w:bCs/>
        </w:rPr>
        <w:t>推动商贸物流与制造业融合发展。</w:t>
      </w:r>
      <w:r>
        <w:rPr>
          <w:rFonts w:hint="eastAsia"/>
        </w:rPr>
        <w:t>新型/特色专业市场、现代物流、软件与信息服务等类集聚区为制造企业提供原材料供应、产品包装、物流配送、产品展销、电子商务等服务。制造业的发展壮大，促进服务业企业创新服务新模式、发展新业态，实现生产制造和经营服务的同步升级。</w:t>
      </w:r>
    </w:p>
    <w:p>
      <w:pPr>
        <w:ind w:firstLine="643"/>
      </w:pPr>
      <w:r>
        <w:rPr>
          <w:rFonts w:hint="eastAsia"/>
          <w:b/>
          <w:bCs/>
        </w:rPr>
        <w:t>推动教育培训与制造业融合发展。</w:t>
      </w:r>
      <w:r>
        <w:rPr>
          <w:rFonts w:hint="eastAsia"/>
        </w:rPr>
        <w:t>深化产教融合，支持教育培训等类集聚区内各类教育培训机构开展技术技能人才再培育、再教育，满足制造企业的人才需求。制造企业对服务需求的扩大和升级，促进实习基地、实训基地、研发中心的共建，带动服务业企业的人才提升和引进，形成产学研用合作的服务业产业技术创新体系。</w:t>
      </w:r>
    </w:p>
    <w:p>
      <w:pPr>
        <w:pStyle w:val="4"/>
        <w:ind w:firstLine="643"/>
      </w:pPr>
      <w:bookmarkStart w:id="81" w:name="_Toc66112148"/>
      <w:r>
        <w:rPr>
          <w:rFonts w:hint="eastAsia"/>
        </w:rPr>
        <w:t>二、促进</w:t>
      </w:r>
      <w:bookmarkEnd w:id="81"/>
      <w:r>
        <w:rPr>
          <w:rFonts w:hint="eastAsia"/>
        </w:rPr>
        <w:t>服务业与农业融合</w:t>
      </w:r>
    </w:p>
    <w:p>
      <w:pPr>
        <w:ind w:firstLine="643"/>
      </w:pPr>
      <w:r>
        <w:rPr>
          <w:rFonts w:hint="eastAsia"/>
          <w:b/>
          <w:bCs/>
        </w:rPr>
        <w:t>增强农业科技服务供给质量。</w:t>
      </w:r>
      <w:r>
        <w:rPr>
          <w:rFonts w:hint="eastAsia"/>
        </w:rPr>
        <w:t>科技服务、教育培训等类集聚区为现代农业产业基地农户提供全程技术服务以及人才培养、检验检测认证等综合服务，包括耕种养殖技术、病虫害防治、化肥农药使用、农机装备、农产品采收、技术转移、农产品质量安全保障体系与检测体系、农民专业技术培训、远程教育、人才交换交流等。以农业现代化建设技术需求为导向，明确涉农科技服务业企业的突破领域和主攻方向，推动组建农业科技协同创新联盟、农业科技成果交易中心等新兴服务平台。</w:t>
      </w:r>
    </w:p>
    <w:p>
      <w:pPr>
        <w:ind w:firstLine="643"/>
      </w:pPr>
      <w:r>
        <w:rPr>
          <w:rFonts w:hint="eastAsia"/>
          <w:b/>
          <w:bCs/>
        </w:rPr>
        <w:t>增强农业管理服务现代化水平</w:t>
      </w:r>
      <w:r>
        <w:rPr>
          <w:rFonts w:hint="eastAsia"/>
        </w:rPr>
        <w:t>。新型/特色专业市场、综合性服务等类集聚区为现代农业产业基地企业的种养计划、农产品营销、园区管理等提供服务，支持农业企业利用信息技术创新具有地域文化特色的农产品营销管理模式，加快建设全程可追溯、互联共享的农产品质量和食品安全信息管理服务平台。以全生命周期式新兴管理服务需求和实现农业专业化、个性化、多元化发展为导向，推动农业管理企业的服务领域延伸和服务模式升级。</w:t>
      </w:r>
    </w:p>
    <w:p>
      <w:pPr>
        <w:ind w:firstLine="643"/>
      </w:pPr>
      <w:r>
        <w:rPr>
          <w:rFonts w:hint="eastAsia"/>
          <w:b/>
          <w:bCs/>
        </w:rPr>
        <w:t>增强农业同服务业产业互动水平。</w:t>
      </w:r>
      <w:r>
        <w:rPr>
          <w:rFonts w:hint="eastAsia"/>
        </w:rPr>
        <w:t>依托文化创意等类集聚区提高农业领域的创意和设计水平，强化休闲农业与乡村旅游经营场所的创意和设计，推进农业与文化、科技、生态、旅游的融合发展。紧扣农业生产的产前、产中、产后服务，加快新技术、新工艺、新装备、新材料、新需求的农业创意设计研究与应用，提升农产品附加值。</w:t>
      </w:r>
    </w:p>
    <w:p>
      <w:pPr>
        <w:pStyle w:val="4"/>
        <w:ind w:firstLine="643"/>
      </w:pPr>
      <w:bookmarkStart w:id="82" w:name="_Toc66112149"/>
      <w:r>
        <w:rPr>
          <w:rFonts w:hint="eastAsia"/>
        </w:rPr>
        <w:t>三、</w:t>
      </w:r>
      <w:bookmarkEnd w:id="82"/>
      <w:r>
        <w:rPr>
          <w:rFonts w:hint="eastAsia"/>
        </w:rPr>
        <w:t>推进服务业与数字技术融合发展</w:t>
      </w:r>
    </w:p>
    <w:p>
      <w:pPr>
        <w:ind w:firstLine="643"/>
      </w:pPr>
      <w:bookmarkStart w:id="83" w:name="_Toc64966211"/>
      <w:r>
        <w:rPr>
          <w:rFonts w:hint="eastAsia"/>
          <w:b/>
          <w:bCs/>
        </w:rPr>
        <w:t>深入实施数字经济战略。</w:t>
      </w:r>
      <w:r>
        <w:rPr>
          <w:rFonts w:hint="eastAsia"/>
        </w:rPr>
        <w:t>发挥数字化创新对实体经济提质增效的带动作用，加快数字产业化、产业数字化发展，推动经济社会数字化转型。培育人工智能、区块链等产业，推动制造业、服务业、农业农村等经济社会重点领域数字化、智能化转型，培育发展在线经济、共享经济、无人经济、新个体经济、微经济等数字经济新业态和新模式。</w:t>
      </w:r>
    </w:p>
    <w:p>
      <w:pPr>
        <w:ind w:firstLine="643"/>
      </w:pPr>
      <w:r>
        <w:rPr>
          <w:rFonts w:hint="eastAsia"/>
          <w:b/>
          <w:bCs/>
        </w:rPr>
        <w:t>大力发展“平台经济”。</w:t>
      </w:r>
      <w:r>
        <w:rPr>
          <w:rFonts w:hint="eastAsia"/>
        </w:rPr>
        <w:t>推动建设综合性会展中心和商品交易结算中心，推进银盛结算系统建设，提升揭东区在现代服务业和特色金融业的竞争力。推进中德金属生态城管委会与国金金属网信息科技有限公司、中基宁波集团股份有限公司三方合作，以打造华南地区以现代服务业为核心的区域性大宗商品现货交易中心为目标，积极发展“互联网+服务业”“互联网+生产”“互联网+创业创新”模式。</w:t>
      </w:r>
    </w:p>
    <w:bookmarkEnd w:id="83"/>
    <w:p>
      <w:pPr>
        <w:ind w:firstLine="643"/>
      </w:pPr>
      <w:r>
        <w:rPr>
          <w:rFonts w:hint="eastAsia"/>
          <w:b/>
          <w:bCs/>
        </w:rPr>
        <w:t>鼓励发展共享经济。</w:t>
      </w:r>
      <w:r>
        <w:rPr>
          <w:rFonts w:hint="eastAsia"/>
        </w:rPr>
        <w:t>大力发展基于互联网、移动互联网的众创、众包、众扶和众筹，打造共享经济平台，催生线上线下、体验分享、网络团购等新型消费模式。引导企业依托现有生产能力、基础设施、能源资源等，提供个性化、柔性化、分布式服务，建立网络化协同共享体系。支持和引导各类市场主体积极探索完善住宿、餐饮、交通、教育、物流、医疗、养老等行业的共享模式。</w:t>
      </w:r>
    </w:p>
    <w:p>
      <w:pPr>
        <w:pStyle w:val="4"/>
        <w:ind w:firstLine="643"/>
      </w:pPr>
      <w:r>
        <w:rPr>
          <w:rFonts w:hint="eastAsia"/>
        </w:rPr>
        <w:t>四、推进服务业与新型城镇化融合发展</w:t>
      </w:r>
    </w:p>
    <w:p>
      <w:pPr>
        <w:ind w:firstLine="643"/>
      </w:pPr>
      <w:r>
        <w:rPr>
          <w:rFonts w:hint="eastAsia"/>
          <w:b/>
          <w:bCs/>
        </w:rPr>
        <w:t>加快服务业同新型城镇化功能融合。</w:t>
      </w:r>
      <w:r>
        <w:rPr>
          <w:rFonts w:hint="eastAsia"/>
        </w:rPr>
        <w:t>加快集聚区的产业功能与中心城区城镇服务功能有机融合，以产业的集聚发展创造更多就业机会，吸引农村人口向城镇转移，促进农村人口市民化进程，为城镇化提升提供基础支持；同时，通过完善城镇的服务功能为集聚区产业发展、人才集中和生活配套提供服务，实现集聚区与城镇互动发展。</w:t>
      </w:r>
    </w:p>
    <w:p>
      <w:pPr>
        <w:ind w:firstLine="643"/>
      </w:pPr>
      <w:r>
        <w:rPr>
          <w:rFonts w:hint="eastAsia"/>
          <w:b/>
          <w:bCs/>
        </w:rPr>
        <w:t>加快服务与新型城镇化产业融合。</w:t>
      </w:r>
      <w:r>
        <w:rPr>
          <w:rFonts w:hint="eastAsia"/>
        </w:rPr>
        <w:t>围绕经济主导产业的服务需求，瞄准产业链整合，通过“聚链、延链、补链、强链”途径，推进集聚区与所在区域其他产业协同发展，促进城镇产业结构调整。重点要找准集聚区发展定位和方向，加快服务业重大项目建设，促进形成集聚相对优势，提升集聚区综合竞争力。</w:t>
      </w:r>
    </w:p>
    <w:p>
      <w:pPr>
        <w:ind w:firstLine="643"/>
      </w:pPr>
      <w:r>
        <w:rPr>
          <w:rFonts w:hint="eastAsia"/>
          <w:b/>
          <w:bCs/>
        </w:rPr>
        <w:t>加快服务业布局与新型城镇化空间融合。</w:t>
      </w:r>
      <w:r>
        <w:rPr>
          <w:rFonts w:hint="eastAsia"/>
        </w:rPr>
        <w:t>加快集聚区主导产业发展，带动生产要素在城镇空间的集聚组合与优化配置，形成产业发展高地，为城镇产业集聚布局与发展提供支撑。中心城区通过把集聚区建设纳入经济社会发展规划和城市发展总体规划，为集聚区发展提供土地载体和市场空间支持。</w:t>
      </w:r>
    </w:p>
    <w:p>
      <w:pPr>
        <w:ind w:firstLine="643"/>
        <w:sectPr>
          <w:headerReference r:id="rId10" w:type="default"/>
          <w:footerReference r:id="rId11" w:type="default"/>
          <w:pgSz w:w="11906" w:h="16838"/>
          <w:pgMar w:top="1440" w:right="1800" w:bottom="1440" w:left="1800" w:header="851" w:footer="992" w:gutter="0"/>
          <w:pgNumType w:start="1"/>
          <w:cols w:space="425" w:num="1"/>
          <w:docGrid w:type="lines" w:linePitch="312" w:charSpace="0"/>
        </w:sectPr>
      </w:pPr>
      <w:r>
        <w:rPr>
          <w:rFonts w:hint="eastAsia"/>
          <w:b/>
          <w:bCs/>
        </w:rPr>
        <w:t>加快服务业同新型城镇化设施配套融合。</w:t>
      </w:r>
      <w:r>
        <w:rPr>
          <w:rFonts w:hint="eastAsia"/>
        </w:rPr>
        <w:t>统筹推进现代服务业发展和城镇的基础设施的规划建设，推动城区基础设施和生活配套设施向集聚区延伸，突出完善重要交通节点与重要经济板块之间的快速联通，加快推进集聚区与城乡交通的无缝连接。加大信息服务业在城镇建设、运营和管理领域的应用，支持教育、文化等涉及民生改善的产业发展，为城镇居民提供规范、优质、高效、便捷的公共服务。</w:t>
      </w:r>
    </w:p>
    <w:p>
      <w:pPr>
        <w:pStyle w:val="2"/>
        <w:spacing w:before="156" w:after="156"/>
      </w:pPr>
      <w:bookmarkStart w:id="84" w:name="_Toc75367595"/>
      <w:r>
        <w:rPr>
          <w:rFonts w:hint="eastAsia"/>
        </w:rPr>
        <w:t>第五章 落实重点工程，实现产业发展高端化</w:t>
      </w:r>
      <w:bookmarkEnd w:id="84"/>
    </w:p>
    <w:p>
      <w:pPr>
        <w:pStyle w:val="3"/>
      </w:pPr>
      <w:bookmarkStart w:id="85" w:name="_Toc75367596"/>
      <w:bookmarkStart w:id="86" w:name="_Toc66112156"/>
      <w:r>
        <w:rPr>
          <w:rFonts w:hint="eastAsia"/>
        </w:rPr>
        <w:t>第一节 平台载体提质工程</w:t>
      </w:r>
      <w:bookmarkEnd w:id="85"/>
      <w:bookmarkEnd w:id="86"/>
    </w:p>
    <w:p>
      <w:pPr>
        <w:ind w:firstLine="640"/>
      </w:pPr>
      <w:r>
        <w:rPr>
          <w:rFonts w:hint="eastAsia"/>
        </w:rPr>
        <w:t>按照“定位精准、特色鲜明、功能完善、开放共享”的要求，加强对服务业各类集聚平台建设的引导和支持，使之成为现代服务业和新业态孕育发展的主阵地。支持改造提升现有集聚区，加大集聚区公共服务平台搭建、品牌建设、要素强化的政策支持，实施一批现代服务业集聚区研发设计、质量认证、检验检测、信息服务等公共服务平台改造升级项目，进一步完善集聚区基础设施和功能配套，提升优化集聚区整体环境。加强集聚区与周边地区的联系互动，强化集聚区用地与城市功能的空间协同，进一步提高土地集约利用水平。谋划新建一批集聚区，结合新城、综合交通枢纽、大型公共设施、商业综合体、城市更新改造等重大项目建设，积极谋划新建一批现代服务业集聚区，依托揭阳北站打造高铁新城枢纽经济，加快构建交通枢纽导向型（TOD模式）集聚区；激励低效用地再开发，着力盘活城市更新改造用地、批而未用地、闲置土地等存量土地资源，规划建设新的集聚区。完善集聚区考核评价、动态管理和统计监测制度，试行由独立第三方专业机构对集聚区进行供地前和投产后土地利用绩效评估的机制。按照城市功能布局，加快推进揭东产业园区、中德金属生态城、大军埔电商圈（揭东电商小镇）、中国玉都（磐东街道）、埔田特色小镇、望天湖旅游度假区、市外桃园旅游度假区、念恩山、万竹园、时光·玉湖等一批重大服务业重大平台载体建设。</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60" w:lineRule="exact"/>
              <w:ind w:firstLine="0" w:firstLineChars="0"/>
              <w:jc w:val="center"/>
              <w:rPr>
                <w:rFonts w:ascii="黑体" w:hAnsi="黑体" w:eastAsia="黑体"/>
                <w:b/>
                <w:bCs/>
                <w:sz w:val="28"/>
                <w:szCs w:val="18"/>
              </w:rPr>
            </w:pPr>
            <w:r>
              <w:rPr>
                <w:rFonts w:hint="eastAsia" w:ascii="黑体" w:hAnsi="黑体" w:eastAsia="黑体"/>
                <w:b/>
                <w:bCs/>
                <w:sz w:val="28"/>
                <w:szCs w:val="18"/>
              </w:rPr>
              <w:t>专栏8 揭东区服务业重点平台载体提质工程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before="62" w:beforeLines="20" w:after="62" w:afterLines="20" w:line="360" w:lineRule="exact"/>
              <w:ind w:left="64" w:leftChars="20" w:right="64" w:rightChars="20" w:firstLine="562"/>
              <w:rPr>
                <w:rFonts w:ascii="楷体" w:hAnsi="楷体" w:eastAsia="楷体"/>
                <w:b/>
                <w:bCs/>
                <w:sz w:val="28"/>
                <w:szCs w:val="18"/>
              </w:rPr>
            </w:pPr>
            <w:r>
              <w:rPr>
                <w:rFonts w:hint="eastAsia" w:ascii="楷体" w:hAnsi="楷体" w:eastAsia="楷体"/>
                <w:b/>
                <w:bCs/>
                <w:sz w:val="28"/>
                <w:szCs w:val="18"/>
              </w:rPr>
              <w:t>1．揭东产业园区：建强揭东经济开发区。</w:t>
            </w:r>
            <w:r>
              <w:rPr>
                <w:rFonts w:hint="eastAsia" w:ascii="楷体" w:hAnsi="楷体" w:eastAsia="楷体"/>
                <w:sz w:val="28"/>
                <w:szCs w:val="18"/>
              </w:rPr>
              <w:t>以建设成为国家级经济技术开发区、5G+工业互联网示范园区、汕潮揭都市圈内重要的高科技产业园区以及珠三角产业转移的首选之地为定位，发展壮大先进制造业、大健康产业等主导产业，培育发展高端电子信息、新材料、新能源等潜力产业，大力发展商贸物流、休闲旅游等配套产业，打造特色鲜明、产城融合、绿色生态的现代产业体系。</w:t>
            </w:r>
          </w:p>
          <w:p>
            <w:pPr>
              <w:spacing w:before="62" w:beforeLines="20" w:after="62" w:afterLines="20" w:line="360" w:lineRule="exact"/>
              <w:ind w:left="64" w:leftChars="20" w:right="64" w:rightChars="20" w:firstLine="562"/>
              <w:rPr>
                <w:rFonts w:ascii="楷体" w:hAnsi="楷体" w:eastAsia="楷体"/>
                <w:sz w:val="28"/>
                <w:szCs w:val="18"/>
              </w:rPr>
            </w:pPr>
            <w:r>
              <w:rPr>
                <w:rFonts w:hint="eastAsia" w:ascii="楷体" w:hAnsi="楷体" w:eastAsia="楷体"/>
                <w:b/>
                <w:bCs/>
                <w:sz w:val="28"/>
                <w:szCs w:val="18"/>
              </w:rPr>
              <w:t>2．中德金属生态城：</w:t>
            </w:r>
            <w:r>
              <w:rPr>
                <w:rFonts w:hint="eastAsia" w:ascii="楷体" w:hAnsi="楷体" w:eastAsia="楷体"/>
                <w:sz w:val="28"/>
                <w:szCs w:val="18"/>
              </w:rPr>
              <w:t>以中德（欧）开放合作示范区、循环经济示范园区、现代产业集聚区、产城融合典范区为发展目标，大力推动广东省塑胶及金属制品智能制造区域创新中心、中德合作创新基地建设发展，重点加快传统优势制造、先进装备制造、智能制造、节能环保四大制造业发展，配套生活居住、商业服务等产业，构建先进制造业、现代服务业和文化旅游业等产业发展体系。</w:t>
            </w:r>
          </w:p>
          <w:p>
            <w:pPr>
              <w:spacing w:before="62" w:beforeLines="20" w:after="62" w:afterLines="20" w:line="360" w:lineRule="exact"/>
              <w:ind w:left="64" w:leftChars="20" w:right="64" w:rightChars="20" w:firstLine="562"/>
              <w:rPr>
                <w:rFonts w:ascii="楷体" w:hAnsi="楷体" w:eastAsia="楷体"/>
                <w:sz w:val="28"/>
                <w:szCs w:val="18"/>
              </w:rPr>
            </w:pPr>
            <w:r>
              <w:rPr>
                <w:rFonts w:hint="eastAsia" w:ascii="楷体" w:hAnsi="楷体" w:eastAsia="楷体"/>
                <w:b/>
                <w:bCs/>
                <w:sz w:val="28"/>
                <w:szCs w:val="18"/>
              </w:rPr>
              <w:t>3．高铁新城：</w:t>
            </w:r>
            <w:r>
              <w:rPr>
                <w:rFonts w:hint="eastAsia" w:ascii="楷体" w:hAnsi="楷体" w:eastAsia="楷体"/>
                <w:sz w:val="28"/>
                <w:szCs w:val="18"/>
              </w:rPr>
              <w:t>新城空间布局划分为六大功能片区，分别是交通集散片区、现代物流片区、电子商务片区、展贸交易片区、特色生产片区、高端居住片区，以“互联网+”为引领，以电商产业发展为核心，大力发展现代物流、商贸会展、文化旅游等服务业，促进电商与特色食品、五金制品、玉石等传统产业融合发展，提升行业协同创新、精准制造、精细管理水平，完善电商产业链条，积极培育新业态，提高产品技术含量和附加值，打造以电子商务为核心的产业生态圈。</w:t>
            </w:r>
          </w:p>
          <w:p>
            <w:pPr>
              <w:spacing w:before="62" w:beforeLines="20" w:after="62" w:afterLines="20" w:line="360" w:lineRule="exact"/>
              <w:ind w:left="64" w:leftChars="20" w:right="64" w:rightChars="20" w:firstLine="562"/>
              <w:rPr>
                <w:rFonts w:ascii="楷体" w:hAnsi="楷体" w:eastAsia="楷体"/>
                <w:sz w:val="28"/>
                <w:szCs w:val="18"/>
              </w:rPr>
            </w:pPr>
            <w:r>
              <w:rPr>
                <w:rFonts w:hint="eastAsia" w:ascii="楷体" w:hAnsi="楷体" w:eastAsia="楷体"/>
                <w:b/>
                <w:bCs/>
                <w:sz w:val="28"/>
                <w:szCs w:val="18"/>
              </w:rPr>
              <w:t>4．中国玉都（磐东街道）：</w:t>
            </w:r>
            <w:r>
              <w:rPr>
                <w:rFonts w:hint="eastAsia" w:ascii="楷体" w:hAnsi="楷体" w:eastAsia="楷体"/>
                <w:sz w:val="28"/>
                <w:szCs w:val="18"/>
              </w:rPr>
              <w:t>磐东街道发挥“中国玉都”品牌效应，以玉文化特色产业带动商贸、旅游、休闲、居住等业态发展，进一步完善玉都城市功能，助推揭东西部全面融入市区核心区域发展的战略布局。</w:t>
            </w:r>
          </w:p>
          <w:p>
            <w:pPr>
              <w:spacing w:before="62" w:beforeLines="20" w:after="62" w:afterLines="20" w:line="360" w:lineRule="exact"/>
              <w:ind w:left="64" w:leftChars="20" w:right="64" w:rightChars="20" w:firstLine="562"/>
              <w:rPr>
                <w:rFonts w:ascii="楷体" w:hAnsi="楷体" w:eastAsia="楷体"/>
                <w:b/>
                <w:bCs/>
                <w:sz w:val="28"/>
                <w:szCs w:val="18"/>
              </w:rPr>
            </w:pPr>
            <w:r>
              <w:rPr>
                <w:rFonts w:ascii="楷体" w:hAnsi="楷体" w:eastAsia="楷体"/>
                <w:b/>
                <w:bCs/>
                <w:sz w:val="28"/>
                <w:szCs w:val="18"/>
              </w:rPr>
              <w:t>5</w:t>
            </w:r>
            <w:r>
              <w:rPr>
                <w:rFonts w:hint="eastAsia" w:ascii="楷体" w:hAnsi="楷体" w:eastAsia="楷体"/>
                <w:b/>
                <w:bCs/>
                <w:sz w:val="28"/>
                <w:szCs w:val="18"/>
              </w:rPr>
              <w:t>．粤东茶健康产业科技示范园：</w:t>
            </w:r>
            <w:r>
              <w:rPr>
                <w:rFonts w:hint="eastAsia" w:ascii="楷体" w:hAnsi="楷体" w:eastAsia="楷体"/>
                <w:sz w:val="28"/>
                <w:szCs w:val="18"/>
              </w:rPr>
              <w:t>该项目位于揭东区玉湖镇坪上村，占地面积141.9万平方米，建设生产、管理及休闲旅游配套等建筑13.5万平方米。通过“一心、一环、三区”（综合管理服务中心、生态观光景观环、生态茶园区、茶文化风情区、养生度假区）功能区建设，打造集高品质茶叶生产、茶产业科技示范、茶主题休闲度假养生等功能于一体的茶健康产业科技示范园，带动当地传统的茶产业朝着高档化、生态化、产业融合化的方向发展。</w:t>
            </w:r>
          </w:p>
          <w:p>
            <w:pPr>
              <w:spacing w:before="62" w:beforeLines="20" w:after="62" w:afterLines="20" w:line="360" w:lineRule="exact"/>
              <w:ind w:left="64" w:leftChars="20" w:right="64" w:rightChars="20" w:firstLine="562"/>
              <w:rPr>
                <w:rFonts w:ascii="楷体" w:hAnsi="楷体" w:eastAsia="楷体"/>
                <w:sz w:val="28"/>
                <w:szCs w:val="18"/>
              </w:rPr>
            </w:pPr>
            <w:r>
              <w:rPr>
                <w:rFonts w:ascii="楷体" w:hAnsi="楷体" w:eastAsia="楷体"/>
                <w:b/>
                <w:bCs/>
                <w:sz w:val="28"/>
                <w:szCs w:val="18"/>
              </w:rPr>
              <w:t>6.</w:t>
            </w:r>
            <w:r>
              <w:rPr>
                <w:rFonts w:hint="eastAsia" w:ascii="楷体" w:hAnsi="楷体" w:eastAsia="楷体"/>
                <w:b/>
                <w:bCs/>
                <w:sz w:val="28"/>
                <w:szCs w:val="18"/>
              </w:rPr>
              <w:t>特色小镇建设工程：</w:t>
            </w:r>
            <w:r>
              <w:rPr>
                <w:rFonts w:hint="eastAsia" w:ascii="楷体" w:hAnsi="楷体" w:eastAsia="楷体"/>
                <w:bCs/>
                <w:sz w:val="28"/>
                <w:szCs w:val="28"/>
                <w:shd w:val="clear" w:color="auto" w:fill="FFFFFF"/>
              </w:rPr>
              <w:t>推进埔田特色小镇、望天湖生态康养小镇、揭东玉湖历史文化小镇、</w:t>
            </w:r>
            <w:bookmarkStart w:id="87" w:name="_Hlk75275128"/>
            <w:r>
              <w:rPr>
                <w:rFonts w:hint="eastAsia" w:ascii="楷体" w:hAnsi="楷体" w:eastAsia="楷体"/>
                <w:bCs/>
                <w:sz w:val="28"/>
                <w:szCs w:val="28"/>
                <w:shd w:val="clear" w:color="auto" w:fill="FFFFFF"/>
              </w:rPr>
              <w:t>揭东电商小镇</w:t>
            </w:r>
            <w:bookmarkEnd w:id="87"/>
            <w:r>
              <w:rPr>
                <w:rFonts w:hint="eastAsia" w:ascii="楷体" w:hAnsi="楷体" w:eastAsia="楷体"/>
                <w:bCs/>
                <w:sz w:val="28"/>
                <w:szCs w:val="28"/>
                <w:shd w:val="clear" w:color="auto" w:fill="FFFFFF"/>
              </w:rPr>
              <w:t>建设。</w:t>
            </w:r>
          </w:p>
          <w:p>
            <w:pPr>
              <w:spacing w:before="62" w:beforeLines="20" w:after="62" w:afterLines="20" w:line="360" w:lineRule="exact"/>
              <w:ind w:left="64" w:leftChars="20" w:right="64" w:rightChars="20" w:firstLine="562"/>
              <w:rPr>
                <w:rFonts w:ascii="楷体" w:hAnsi="楷体" w:eastAsia="楷体"/>
                <w:sz w:val="28"/>
                <w:szCs w:val="18"/>
              </w:rPr>
            </w:pPr>
            <w:r>
              <w:rPr>
                <w:rFonts w:ascii="楷体" w:hAnsi="楷体" w:eastAsia="楷体"/>
                <w:b/>
                <w:bCs/>
                <w:sz w:val="28"/>
                <w:szCs w:val="18"/>
              </w:rPr>
              <w:t>7</w:t>
            </w:r>
            <w:r>
              <w:rPr>
                <w:rFonts w:hint="eastAsia" w:ascii="楷体" w:hAnsi="楷体" w:eastAsia="楷体"/>
                <w:b/>
                <w:bCs/>
                <w:sz w:val="28"/>
                <w:szCs w:val="18"/>
              </w:rPr>
              <w:t>．特色旅游平台：</w:t>
            </w:r>
            <w:r>
              <w:rPr>
                <w:rFonts w:hint="eastAsia" w:ascii="楷体" w:hAnsi="楷体" w:eastAsia="楷体"/>
                <w:sz w:val="28"/>
                <w:szCs w:val="18"/>
              </w:rPr>
              <w:t>推进望天湖旅游度假区、市外桃园旅游度假区、念恩山、万竹园、时光·玉湖等重点旅游景区建设。</w:t>
            </w:r>
          </w:p>
          <w:p>
            <w:pPr>
              <w:spacing w:before="62" w:beforeLines="20" w:after="62" w:afterLines="20" w:line="360" w:lineRule="exact"/>
              <w:ind w:left="64" w:leftChars="20" w:right="64" w:rightChars="20" w:firstLine="562"/>
              <w:rPr>
                <w:rFonts w:ascii="楷体" w:hAnsi="楷体" w:eastAsia="楷体"/>
                <w:sz w:val="28"/>
                <w:szCs w:val="18"/>
              </w:rPr>
            </w:pPr>
            <w:r>
              <w:rPr>
                <w:rFonts w:ascii="楷体" w:hAnsi="楷体" w:eastAsia="楷体"/>
                <w:b/>
                <w:bCs/>
                <w:sz w:val="28"/>
                <w:szCs w:val="18"/>
              </w:rPr>
              <w:t>8</w:t>
            </w:r>
            <w:r>
              <w:rPr>
                <w:rFonts w:hint="eastAsia" w:ascii="楷体" w:hAnsi="楷体" w:eastAsia="楷体"/>
                <w:b/>
                <w:bCs/>
                <w:sz w:val="28"/>
                <w:szCs w:val="18"/>
              </w:rPr>
              <w:t>．主要镇街服务提升工程：</w:t>
            </w:r>
            <w:r>
              <w:rPr>
                <w:rFonts w:hint="eastAsia" w:ascii="楷体" w:hAnsi="楷体" w:eastAsia="楷体"/>
                <w:sz w:val="28"/>
                <w:szCs w:val="18"/>
              </w:rPr>
              <w:t>结合镇街</w:t>
            </w:r>
            <w:r>
              <w:rPr>
                <w:rFonts w:hint="eastAsia" w:ascii="楷体" w:hAnsi="楷体" w:eastAsia="楷体"/>
                <w:sz w:val="28"/>
                <w:szCs w:val="18"/>
                <w:lang w:eastAsia="zh-CN"/>
              </w:rPr>
              <w:t>“</w:t>
            </w:r>
            <w:r>
              <w:rPr>
                <w:rFonts w:hint="eastAsia" w:ascii="楷体" w:hAnsi="楷体" w:eastAsia="楷体"/>
                <w:sz w:val="28"/>
                <w:szCs w:val="18"/>
              </w:rPr>
              <w:t>三旧</w:t>
            </w:r>
            <w:r>
              <w:rPr>
                <w:rFonts w:hint="eastAsia" w:ascii="楷体" w:hAnsi="楷体" w:eastAsia="楷体"/>
                <w:sz w:val="28"/>
                <w:szCs w:val="18"/>
                <w:lang w:eastAsia="zh-CN"/>
              </w:rPr>
              <w:t>”</w:t>
            </w:r>
            <w:r>
              <w:rPr>
                <w:rFonts w:hint="eastAsia" w:ascii="楷体" w:hAnsi="楷体" w:eastAsia="楷体"/>
                <w:sz w:val="28"/>
                <w:szCs w:val="18"/>
              </w:rPr>
              <w:t>改造等工程，推进曲溪街道庵前经联社片区厂房改造工程（商住）、窑灶码头片区</w:t>
            </w:r>
            <w:r>
              <w:rPr>
                <w:rFonts w:hint="eastAsia" w:ascii="楷体" w:hAnsi="楷体" w:eastAsia="楷体"/>
                <w:sz w:val="28"/>
                <w:szCs w:val="18"/>
                <w:lang w:eastAsia="zh-CN"/>
              </w:rPr>
              <w:t>“</w:t>
            </w:r>
            <w:r>
              <w:rPr>
                <w:rFonts w:hint="eastAsia" w:ascii="楷体" w:hAnsi="楷体" w:eastAsia="楷体"/>
                <w:sz w:val="28"/>
                <w:szCs w:val="18"/>
              </w:rPr>
              <w:t>三旧</w:t>
            </w:r>
            <w:r>
              <w:rPr>
                <w:rFonts w:hint="eastAsia" w:ascii="楷体" w:hAnsi="楷体" w:eastAsia="楷体"/>
                <w:sz w:val="28"/>
                <w:szCs w:val="18"/>
                <w:lang w:eastAsia="zh-CN"/>
              </w:rPr>
              <w:t>”</w:t>
            </w:r>
            <w:r>
              <w:rPr>
                <w:rFonts w:hint="eastAsia" w:ascii="楷体" w:hAnsi="楷体" w:eastAsia="楷体"/>
                <w:sz w:val="28"/>
                <w:szCs w:val="18"/>
              </w:rPr>
              <w:t>改造、玉窖镇桥头新村、霖磐镇老旧镇区改造提升、泰丰侨高品质活力社区等片区服务业高质量发展。</w:t>
            </w:r>
          </w:p>
        </w:tc>
      </w:tr>
    </w:tbl>
    <w:p>
      <w:pPr>
        <w:pStyle w:val="3"/>
      </w:pPr>
      <w:bookmarkStart w:id="88" w:name="_Toc66112157"/>
      <w:bookmarkStart w:id="89" w:name="_Toc75367597"/>
      <w:r>
        <w:rPr>
          <w:rFonts w:hint="eastAsia"/>
        </w:rPr>
        <w:t>第二节 重点企业培育工程</w:t>
      </w:r>
      <w:bookmarkEnd w:id="88"/>
      <w:bookmarkEnd w:id="89"/>
    </w:p>
    <w:p>
      <w:pPr>
        <w:ind w:firstLine="640"/>
        <w:rPr>
          <w:rFonts w:ascii="楷体" w:hAnsi="楷体" w:eastAsia="楷体" w:cs="宋体"/>
          <w:kern w:val="0"/>
          <w:sz w:val="21"/>
          <w:szCs w:val="21"/>
        </w:rPr>
      </w:pPr>
      <w:r>
        <w:rPr>
          <w:rFonts w:hint="eastAsia"/>
        </w:rPr>
        <w:t>坚持政府主导和市场运作相结合，改善财政资金使用结构和扶持方式，加大对服务业大、中、小、微各类企业的培育，努力形成一支创新能力强、市场辐射力大、具有可持续发展能力的重点企业梯队。根据全区主导产业规划布局，制定推荐原则和遴选标准，采取部门、园区推荐和企业自主申报相结合的方式，评定产生服务业重点龙头企业和创新型中小企业，分级分类给予发展扶持。鼓励各类资本通过出资入股、上市收购、股权投资、可转债认购、股权置换等多种方式参与国有服务业企业混合所有制改革，提高国有资本配置和运行效率。鼓励民营服务业骨干企业开展兼并重组，组建大企业大集团，在土地、科技、人才、资金等要素保障方面给予更多政策倾斜。加大企业上市培育力度，鼓励支持服务业重点企业在合适的证券交易所挂牌上市，通过资本市场进一步发展壮大。以“双创”行动计划、小微企业成长计划等为支撑，继续加大对各类初创型小微企业的服务力度，积极促进各类市场主体集聚集群发展。力争到202</w:t>
      </w:r>
      <w:r>
        <w:t>5</w:t>
      </w:r>
      <w:r>
        <w:rPr>
          <w:rFonts w:hint="eastAsia"/>
        </w:rPr>
        <w:t>年，全市年营业收入超</w:t>
      </w:r>
      <w:r>
        <w:t>10</w:t>
      </w:r>
      <w:r>
        <w:rPr>
          <w:rFonts w:hint="eastAsia"/>
        </w:rPr>
        <w:t>亿元的企业达到</w:t>
      </w:r>
      <w:r>
        <w:t>60</w:t>
      </w:r>
      <w:r>
        <w:rPr>
          <w:rFonts w:hint="eastAsia"/>
        </w:rPr>
        <w:t>家以上。</w:t>
      </w:r>
    </w:p>
    <w:p>
      <w:pPr>
        <w:pStyle w:val="3"/>
      </w:pPr>
      <w:bookmarkStart w:id="90" w:name="_Toc66112159"/>
      <w:bookmarkStart w:id="91" w:name="_Toc75367598"/>
      <w:r>
        <w:rPr>
          <w:rFonts w:hint="eastAsia"/>
        </w:rPr>
        <w:t>第三节 品牌化、标准化工程</w:t>
      </w:r>
      <w:bookmarkEnd w:id="90"/>
      <w:bookmarkEnd w:id="91"/>
    </w:p>
    <w:p>
      <w:pPr>
        <w:pStyle w:val="4"/>
        <w:ind w:firstLine="643"/>
      </w:pPr>
      <w:r>
        <w:rPr>
          <w:rFonts w:hint="eastAsia"/>
        </w:rPr>
        <w:t>一、健全服务质量治理体系和促进体系</w:t>
      </w:r>
    </w:p>
    <w:p>
      <w:pPr>
        <w:ind w:firstLine="640"/>
      </w:pPr>
      <w:r>
        <w:rPr>
          <w:rFonts w:hint="eastAsia"/>
        </w:rPr>
        <w:t>综合运用经济、法律、技术等手段，引导支持企业推广先进质量管理理念和现代质量管理方法，督促企业建立健全质量管理体系。畅通消费者质量投诉举报渠道，加大服务质量随机抽查力度。建立健全质量失信“黑名单”，加大对质量失信惩戒力度。</w:t>
      </w:r>
    </w:p>
    <w:p>
      <w:pPr>
        <w:pStyle w:val="4"/>
        <w:ind w:firstLine="643"/>
      </w:pPr>
      <w:r>
        <w:rPr>
          <w:rFonts w:hint="eastAsia"/>
        </w:rPr>
        <w:t>二、提高服务标准化水平</w:t>
      </w:r>
    </w:p>
    <w:p>
      <w:pPr>
        <w:ind w:firstLine="640"/>
      </w:pPr>
      <w:r>
        <w:rPr>
          <w:rFonts w:hint="eastAsia"/>
        </w:rPr>
        <w:t>实施标准化战略，争取更多的国际标准化组织技术机构落户揭东，鼓励具有技术优势或自主知识产权的企业事业单位主导或参与国际标准、国家标准或行业标准研制。引导企业开展服务标准化示范试点建设，规范服务流程和服务内容，引领服务行业整体提升。推行企业产品或服务标准自我声明公开或监督制度，激发企业标准化工作活力。</w:t>
      </w:r>
    </w:p>
    <w:p>
      <w:pPr>
        <w:pStyle w:val="4"/>
        <w:ind w:firstLine="643"/>
      </w:pPr>
      <w:r>
        <w:rPr>
          <w:rFonts w:hint="eastAsia"/>
        </w:rPr>
        <w:t>三、提高计量服务能力</w:t>
      </w:r>
    </w:p>
    <w:p>
      <w:pPr>
        <w:ind w:firstLine="640"/>
      </w:pPr>
      <w:r>
        <w:rPr>
          <w:rFonts w:hint="eastAsia"/>
        </w:rPr>
        <w:t>落实计量发展规划，围绕产业升级和新兴战略产业发展，鼓励开展在线检测、动态测试、远程校准、自动检测等计量测试技术、方法及计量标准研究建设；引导支持企业积极采用先进的计量测试技术及测量管理方法，全面提升企业计量管理及检测水平和产品质量的计量保证能力。</w:t>
      </w:r>
    </w:p>
    <w:p>
      <w:pPr>
        <w:pStyle w:val="4"/>
        <w:ind w:firstLine="643"/>
      </w:pPr>
      <w:r>
        <w:rPr>
          <w:rFonts w:hint="eastAsia"/>
        </w:rPr>
        <w:t>四、打造揭东服务知名品牌</w:t>
      </w:r>
    </w:p>
    <w:p>
      <w:pPr>
        <w:ind w:firstLine="640"/>
      </w:pPr>
      <w:r>
        <w:rPr>
          <w:rFonts w:hint="eastAsia"/>
        </w:rPr>
        <w:t>完善服务业品牌培育制度，支持服务业企业开展自主品牌建设，引导企业注册并规范使用商标、商号，打造一批竞争力强、附加值高的知名品牌，推动企业从产品竞争、价格竞争为主向以质量竞争、品牌竞争为主转变。加快服务质量和服务水平与港澳地区及国外先进地区的接轨步伐，提升服务业各行业规范化、标准化、国际化水平。</w:t>
      </w:r>
    </w:p>
    <w:p>
      <w:pPr>
        <w:pStyle w:val="3"/>
      </w:pPr>
      <w:bookmarkStart w:id="92" w:name="_Toc66112160"/>
      <w:bookmarkStart w:id="93" w:name="_Toc75367599"/>
      <w:r>
        <w:rPr>
          <w:rFonts w:hint="eastAsia"/>
        </w:rPr>
        <w:t>第四节 高端人才集聚工程</w:t>
      </w:r>
      <w:bookmarkEnd w:id="92"/>
      <w:bookmarkEnd w:id="93"/>
    </w:p>
    <w:p>
      <w:pPr>
        <w:ind w:firstLine="640"/>
      </w:pPr>
      <w:r>
        <w:rPr>
          <w:rFonts w:hint="eastAsia"/>
        </w:rPr>
        <w:t>落实加快集聚产业领军人才的意见及配套政策，进一步完善高层次人才和高技能人才评选、表彰、激励制度，加紧培育和引进一批现代现服务业产业领军人才（团队）。大力弘扬新时期的工匠精神，建设一批“工匠”培育基地，培养造就更多的名匠大师。鼓励企业、高校、科研院所等共同参与人才资源开发和人才培养，推动企业建设创新创业平台，协助企业申报院士工作站、博士后工作站等研发机构，每年资助一批企业博士后研究人员出国（境）深造。实施“高端外国专家项目”，创新中国海外人才交流办会模式，推动“海外人才工作站”建设，加大海外人才引进力度。实施人才绿卡制度，暂无落户意向的非揭东户籍产业领军人才可在购房、购车、子女入学等方面享受揭东市民待遇；持人才绿卡的外籍产业领军人才可享受长期居留和出入境便利。完善人才生态链，畅通人才成长路径，推动服务业从业人员职业化、专业化发展。推动人才柔性双向流动，鼓励高校、科研院所聘任产业领军人才任教，鼓励高校、科研院所科研人员到企业兼职。优化人才服务保障，为创新创业人才的安家落户、科技研发、职称评定、经费支持、医疗保障、子女入学和配偶就业等方面提供全方位便捷优质的服务。加快推进粤港澳人才合作、国家海外高层次人才创新基地、人力资源服务产业园等平台建设，争取在创新人才政策上先行先试。</w:t>
      </w:r>
    </w:p>
    <w:p>
      <w:pPr>
        <w:pStyle w:val="3"/>
      </w:pPr>
      <w:bookmarkStart w:id="94" w:name="_Toc75367600"/>
      <w:bookmarkStart w:id="95" w:name="_Toc66112161"/>
      <w:r>
        <w:rPr>
          <w:rFonts w:hint="eastAsia"/>
        </w:rPr>
        <w:t>第五节 营商环境优化工程</w:t>
      </w:r>
      <w:bookmarkEnd w:id="94"/>
      <w:bookmarkEnd w:id="95"/>
      <w:bookmarkStart w:id="96" w:name="_Toc12324"/>
    </w:p>
    <w:p>
      <w:pPr>
        <w:ind w:firstLine="640"/>
      </w:pPr>
      <w:r>
        <w:rPr>
          <w:rFonts w:hint="eastAsia"/>
        </w:rPr>
        <w:t>充分发挥市场配置资源的决定性作用，推进服务业改革开放发展对建设现代化经济体系、推动经济高质量发展有着重要意义和深刻影响。要通过充分发挥市场配置资源的决定性作用和更好发挥政府作用，加快转变服务业发展思路，大幅放宽市场准入，破除隐形壁垒，全面提升监管能力，积极构建多层次多元化的服务业管理服务系统，大幅增加优质市场主体，提升服务业供给质量和效率，优化服务业发展结构。加快转变政府支持服务业发展思路。认真贯彻落实《关于进一步推进服务业改革开放发展的指导意见》《揭阳市促进产业发展“1+</w:t>
      </w:r>
      <w:r>
        <w:t>1</w:t>
      </w:r>
      <w:r>
        <w:rPr>
          <w:rFonts w:hint="eastAsia"/>
        </w:rPr>
        <w:t>+</w:t>
      </w:r>
      <w:r>
        <w:t>12</w:t>
      </w:r>
      <w:r>
        <w:rPr>
          <w:rFonts w:hint="eastAsia"/>
        </w:rPr>
        <w:t>”政策体系》，强化“乙方思维”，强化部门协作和政策配套，凝聚招商引资合力，激发市场主体活力。积极实施土地、金融、资金奖补等扶持政策，支持基础性、生产性、消费性和公共性等各类服务业企业落户和发展，加快引进和培育新兴现代服务业企业，形成特色鲜明、结构合理、功能完善的现代服务业体系。</w:t>
      </w:r>
    </w:p>
    <w:p>
      <w:pPr>
        <w:pStyle w:val="3"/>
      </w:pPr>
      <w:bookmarkStart w:id="97" w:name="_Toc75367601"/>
      <w:bookmarkStart w:id="98" w:name="_Toc66112162"/>
      <w:r>
        <w:rPr>
          <w:rFonts w:hint="eastAsia"/>
        </w:rPr>
        <w:t>第六节 服务业开放合作工程</w:t>
      </w:r>
      <w:bookmarkEnd w:id="97"/>
    </w:p>
    <w:p>
      <w:pPr>
        <w:ind w:firstLine="640"/>
      </w:pPr>
      <w:r>
        <w:rPr>
          <w:rFonts w:hint="eastAsia"/>
        </w:rPr>
        <w:t>积极发展更高层次开放型经济，积极复制推广国家自由贸易试验区改革试点经验，加快推动外经外贸高质量发展，加大外贸综合服务企业培育力度，建设外贸转型升级示范基地，拓展高端物流、国际航运、现代供应链管理、跨境电子商务等服务贸易领域。拓展“一带一路”沿线市场，建立完善参与“一带一路”建设重大项目库、重点企业库、重要产品库。依托中德金属生态城等平台，导入更多欧洲工业孵化项目，提升产业科技研发水平。推动中欧区域政策合作试点建设，加强与欧盟地区城市合作。依托国家和省境外经贸合作园区，积极参与境外产业集聚区、工业园区、经济特区等合作园区建设，引导国内企业抱团出海、集群式“走出去”。</w:t>
      </w:r>
    </w:p>
    <w:p>
      <w:pPr>
        <w:pStyle w:val="3"/>
      </w:pPr>
      <w:bookmarkStart w:id="99" w:name="_Toc75367602"/>
      <w:bookmarkStart w:id="100" w:name="_Toc66112158"/>
      <w:r>
        <w:rPr>
          <w:rFonts w:hint="eastAsia"/>
        </w:rPr>
        <w:t>第七节 重大项目推进工程</w:t>
      </w:r>
      <w:bookmarkEnd w:id="99"/>
      <w:bookmarkEnd w:id="100"/>
    </w:p>
    <w:p>
      <w:pPr>
        <w:ind w:firstLine="640"/>
      </w:pPr>
      <w:r>
        <w:rPr>
          <w:rFonts w:hint="eastAsia"/>
        </w:rPr>
        <w:t>紧扣“三中心一体系”和国家创新中心城市建设，积极招引、落地、推进一批业态新、含金量高、辐射力强、拉动效应明显的重点产业项目，加快实施一批补短板、强基础类公共服务项目，以重大项目建设推动服务业提质增效升级。加大招商引资力度，创新招商推介方式，增进与各地商会、行业协会、中介机构的交流合作，推进联合招商、集群招商和产业链招商。做好世界500强、中国500强、中国服务业500强以及知名跨国公司、大型央企、国内龙头民企的招商工作，吸引更多的央企、名企、强企来揭东投资发展航运物流、商贸会展、金融、电子商务、科技服务等领域的重大产业项目。搭建区级现代服务业重大项目库，按照“建设一批、储备一批、谋划一批”的滚动发展原则，分类推进项目落地建设。对正在洽谈的重大服务业项目，综合运用产业发展引导基金参股、直接股权投资等方式实行配套，优先配置土地资源，争取尽快签约；对已签约的项目，组织力量贴身服务，促使投资方尽快稳定运营方案；对条件成熟的建设项目争取优先列入全区重点项目建设计划。强化服务业重大项目的综合协调和日常管理，定期组织召开协调例会；区现代服务业领导小组各成员单位在职责范围内做好重大项目的管理、协调和服务工作。“十四五”时期，揭东区服务业预计实施391个重点产业项目，预计完成投资额5205亿元。</w:t>
      </w:r>
    </w:p>
    <w:bookmarkEnd w:id="96"/>
    <w:bookmarkEnd w:id="98"/>
    <w:p>
      <w:pPr>
        <w:pStyle w:val="2"/>
        <w:spacing w:before="156" w:after="156"/>
      </w:pPr>
      <w:bookmarkStart w:id="101" w:name="_Toc64966222"/>
      <w:bookmarkStart w:id="102" w:name="_Toc66112163"/>
      <w:bookmarkStart w:id="103" w:name="_Toc75367603"/>
      <w:r>
        <w:rPr>
          <w:rFonts w:hint="eastAsia"/>
        </w:rPr>
        <w:t>第六章 保障措施</w:t>
      </w:r>
      <w:bookmarkEnd w:id="101"/>
      <w:bookmarkEnd w:id="102"/>
      <w:bookmarkEnd w:id="103"/>
    </w:p>
    <w:p>
      <w:pPr>
        <w:pStyle w:val="3"/>
      </w:pPr>
      <w:bookmarkStart w:id="104" w:name="_Toc75367604"/>
      <w:bookmarkStart w:id="105" w:name="_Toc64966226"/>
      <w:bookmarkStart w:id="106" w:name="_Toc66112167"/>
      <w:r>
        <w:rPr>
          <w:rFonts w:hint="eastAsia"/>
        </w:rPr>
        <w:t>第一节 强化领导统筹</w:t>
      </w:r>
      <w:bookmarkEnd w:id="104"/>
    </w:p>
    <w:p>
      <w:pPr>
        <w:ind w:firstLine="640"/>
      </w:pPr>
      <w:r>
        <w:rPr>
          <w:rFonts w:hint="eastAsia"/>
        </w:rPr>
        <w:t>进一步强化服务业发展地位，加强部门联动，发挥区现代服务业发展领导小组统筹协调作用，统一部署，合力推进现代服务业发展。建立现代服务业加快发展统筹协调工作机制，全面统筹协调和推进落实省、市、区“十四五”现代服务业发展规划各项工作，研究审议重大政策，部署全局性重大任务。落实工作责任制，建立规划实施督查制度，对规划期内重大事项进行监督检查。各功能区要根据本规划，结合实际制定实施方案，采取有力措施，确保规划目标实现。</w:t>
      </w:r>
    </w:p>
    <w:p>
      <w:pPr>
        <w:pStyle w:val="3"/>
      </w:pPr>
      <w:bookmarkStart w:id="107" w:name="_Toc75367605"/>
      <w:r>
        <w:rPr>
          <w:rFonts w:hint="eastAsia"/>
        </w:rPr>
        <w:t>第二节 强化落地实施</w:t>
      </w:r>
      <w:bookmarkEnd w:id="107"/>
    </w:p>
    <w:p>
      <w:pPr>
        <w:ind w:firstLine="640"/>
      </w:pPr>
      <w:r>
        <w:rPr>
          <w:rFonts w:hint="eastAsia"/>
        </w:rPr>
        <w:t>加强规划编制、实施和管理的制度建设，建立健全责任明确、分类指导、高效协调的规划实施机制。以本规划为统领，落实规划实施责任制，及时分解规划确定的目标和战略任务，明确部门分工。审定现代服务业年度目标任务、重点工作和重大项目，纳入区委</w:t>
      </w:r>
      <w:r>
        <w:rPr>
          <w:rFonts w:hint="eastAsia"/>
          <w:lang w:eastAsia="zh-CN"/>
        </w:rPr>
        <w:t>、</w:t>
      </w:r>
      <w:r>
        <w:rPr>
          <w:rFonts w:hint="eastAsia"/>
        </w:rPr>
        <w:t>区政府年度目标考核体系，确保现代服务业规划实施平稳推进。建立健全规划年度监测、中期评估和后评估制度，跟踪分析规划实施情况，自觉接受区人大的监督检查。</w:t>
      </w:r>
    </w:p>
    <w:p>
      <w:pPr>
        <w:pStyle w:val="3"/>
      </w:pPr>
      <w:bookmarkStart w:id="108" w:name="_Toc75367606"/>
      <w:r>
        <w:rPr>
          <w:rFonts w:hint="eastAsia"/>
        </w:rPr>
        <w:t>第三节 强化要素供给</w:t>
      </w:r>
      <w:bookmarkEnd w:id="108"/>
    </w:p>
    <w:p>
      <w:pPr>
        <w:ind w:firstLine="640"/>
      </w:pPr>
      <w:r>
        <w:rPr>
          <w:rFonts w:hint="eastAsia"/>
        </w:rPr>
        <w:t>建立服务业专项引导资金，支持带动性强的重点项目和发展有突出贡献的企业。加大财政资金支持力度，集中配置、优化资金使用结构。积极向上争取政策及资金扶持，持续推进“凤凰行动”，支持股改上市，鼓励商务服务、电子商务、研发设计等领域引入私募资本。加大土地保证和倾斜，试点推进闲置房屋流转，探索点式供地方式，鼓励租让结合方式供应项目建设用地。构建优质生产性服务企业第三方举荐通道，与上海、杭州等地专业服务行业协会形成稳定的合作渠道。积极构建宽松的人才引进环境，建立引进与培养领军人才激励机制。实施现代服务业人才培养工程，充分利用绍兴学院、职技校等资源优势，增设现代服务业紧缺专业，建设一批现代服务业人才培养、实训基地。</w:t>
      </w:r>
    </w:p>
    <w:p>
      <w:pPr>
        <w:pStyle w:val="3"/>
      </w:pPr>
      <w:bookmarkStart w:id="109" w:name="_Toc75367607"/>
      <w:r>
        <w:rPr>
          <w:rFonts w:hint="eastAsia"/>
        </w:rPr>
        <w:t>第四节 强化统计考核</w:t>
      </w:r>
      <w:bookmarkEnd w:id="109"/>
    </w:p>
    <w:p>
      <w:pPr>
        <w:ind w:firstLine="640"/>
      </w:pPr>
      <w:r>
        <w:rPr>
          <w:rFonts w:hint="eastAsia"/>
        </w:rPr>
        <w:t>加强服务业统计分析工作，加快建立科学、统一、全面、协调的服务业统计调查制度和信息管理制度，完善服务业统计方法和指标体系。加强产业体系监测、预测分析，重点监测服务业发展指标、重点任务、政策落实和项目推进情况。健全服务业统计信息发布制度，为政府决策、宏观管理和企业经营提供及时、准确、全面的服务业统计信息。建立考核监督机制，重点督查服务业增加值增速、服务业增加值占GDP比重两项指标完成情况和服务业重大项目开工数和竣工数等完成情况。建立健全服务业发展绩效考核奖励制度，制定和完善服务业发展绩效考核办法和考核评价体系，弱化比重指标，强化人均服务产品和服务密度指标，针对不同类别服务业实行分类考核。</w:t>
      </w:r>
    </w:p>
    <w:p>
      <w:pPr>
        <w:pStyle w:val="3"/>
      </w:pPr>
      <w:bookmarkStart w:id="110" w:name="_Toc75367608"/>
      <w:r>
        <w:rPr>
          <w:rFonts w:hint="eastAsia"/>
        </w:rPr>
        <w:t>第五节 强化氛围营造</w:t>
      </w:r>
      <w:bookmarkEnd w:id="110"/>
    </w:p>
    <w:p>
      <w:pPr>
        <w:ind w:firstLine="640"/>
      </w:pPr>
      <w:r>
        <w:rPr>
          <w:rFonts w:hint="eastAsia"/>
        </w:rPr>
        <w:t>立足全区服务业发展现实，积极将全区发展思路和战略导向聚焦现代服务业，广泛开展服务业各专项领域发展研究，推出各产业领域发展行动计划。积极承办国际国内大型会议、论坛、展览和休闲活动，强化信息发布和交流，扩大知名度和影响力。进一步通过广播、电视、报纸、互联网、微信等媒体宣传服务业发展规划和相关政策，有效扩大政策知晓度。集中民智民力，通过举办各种形式研讨会、座谈会等，提供社会参与和社会讨论平台，营造现代服务业发展的良好社会舆论氛围。</w:t>
      </w:r>
    </w:p>
    <w:p>
      <w:pPr>
        <w:ind w:firstLine="640"/>
      </w:pPr>
    </w:p>
    <w:p>
      <w:pPr>
        <w:ind w:firstLine="640"/>
        <w:sectPr>
          <w:pgSz w:w="11906" w:h="16838"/>
          <w:pgMar w:top="1440" w:right="1800" w:bottom="1440" w:left="1800" w:header="851" w:footer="992" w:gutter="0"/>
          <w:cols w:space="425" w:num="1"/>
          <w:docGrid w:type="lines" w:linePitch="312" w:charSpace="0"/>
        </w:sectPr>
      </w:pPr>
    </w:p>
    <w:bookmarkEnd w:id="105"/>
    <w:bookmarkEnd w:id="106"/>
    <w:p>
      <w:pPr>
        <w:pStyle w:val="2"/>
        <w:spacing w:before="217" w:after="217"/>
      </w:pPr>
      <w:bookmarkStart w:id="111" w:name="_Toc66112168"/>
      <w:bookmarkStart w:id="112" w:name="_Toc75367609"/>
      <w:r>
        <w:rPr>
          <w:rFonts w:hint="eastAsia"/>
        </w:rPr>
        <w:t>附件1</w:t>
      </w:r>
      <w:r>
        <w:t xml:space="preserve"> </w:t>
      </w:r>
      <w:r>
        <w:rPr>
          <w:rFonts w:hint="eastAsia"/>
        </w:rPr>
        <w:t>揭东区现代服务业“十四五”重大项目表</w:t>
      </w:r>
      <w:bookmarkEnd w:id="111"/>
      <w:bookmarkEnd w:id="112"/>
    </w:p>
    <w:tbl>
      <w:tblPr>
        <w:tblStyle w:val="30"/>
        <w:tblW w:w="144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235"/>
        <w:gridCol w:w="885"/>
        <w:gridCol w:w="6508"/>
        <w:gridCol w:w="870"/>
        <w:gridCol w:w="1127"/>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blHeader/>
        </w:trPr>
        <w:tc>
          <w:tcPr>
            <w:tcW w:w="566" w:type="dxa"/>
            <w:vAlign w:val="center"/>
          </w:tcPr>
          <w:p>
            <w:pPr>
              <w:spacing w:line="320" w:lineRule="exact"/>
              <w:ind w:firstLine="0" w:firstLineChars="0"/>
              <w:jc w:val="center"/>
              <w:rPr>
                <w:sz w:val="22"/>
                <w:szCs w:val="22"/>
              </w:rPr>
            </w:pPr>
            <w:r>
              <w:rPr>
                <w:rFonts w:hint="eastAsia" w:ascii="宋体" w:hAnsi="宋体" w:eastAsia="宋体" w:cs="宋体"/>
                <w:b/>
                <w:bCs/>
                <w:kern w:val="0"/>
                <w:sz w:val="22"/>
                <w:szCs w:val="22"/>
              </w:rPr>
              <w:t>序号</w:t>
            </w:r>
          </w:p>
        </w:tc>
        <w:tc>
          <w:tcPr>
            <w:tcW w:w="2235" w:type="dxa"/>
            <w:vAlign w:val="center"/>
          </w:tcPr>
          <w:p>
            <w:pPr>
              <w:spacing w:line="320" w:lineRule="exact"/>
              <w:ind w:firstLine="0" w:firstLineChars="0"/>
              <w:jc w:val="center"/>
              <w:rPr>
                <w:sz w:val="22"/>
                <w:szCs w:val="22"/>
              </w:rPr>
            </w:pPr>
            <w:r>
              <w:rPr>
                <w:rFonts w:hint="eastAsia" w:ascii="宋体" w:hAnsi="宋体" w:eastAsia="宋体" w:cs="宋体"/>
                <w:b/>
                <w:bCs/>
                <w:kern w:val="0"/>
                <w:sz w:val="22"/>
                <w:szCs w:val="22"/>
              </w:rPr>
              <w:t>项目名称</w:t>
            </w:r>
          </w:p>
        </w:tc>
        <w:tc>
          <w:tcPr>
            <w:tcW w:w="885" w:type="dxa"/>
            <w:vAlign w:val="center"/>
          </w:tcPr>
          <w:p>
            <w:pPr>
              <w:spacing w:line="320" w:lineRule="exact"/>
              <w:ind w:firstLine="0" w:firstLineChars="0"/>
              <w:jc w:val="center"/>
              <w:rPr>
                <w:rFonts w:ascii="宋体" w:hAnsi="宋体" w:eastAsia="宋体" w:cs="宋体"/>
                <w:b/>
                <w:bCs/>
                <w:kern w:val="0"/>
                <w:sz w:val="22"/>
                <w:szCs w:val="22"/>
              </w:rPr>
            </w:pPr>
            <w:r>
              <w:rPr>
                <w:rFonts w:hint="eastAsia" w:ascii="宋体" w:hAnsi="宋体" w:eastAsia="宋体" w:cs="宋体"/>
                <w:b/>
                <w:bCs/>
                <w:kern w:val="0"/>
                <w:sz w:val="22"/>
                <w:szCs w:val="22"/>
              </w:rPr>
              <w:t>建设</w:t>
            </w:r>
          </w:p>
          <w:p>
            <w:pPr>
              <w:spacing w:line="320" w:lineRule="exact"/>
              <w:ind w:firstLine="0" w:firstLineChars="0"/>
              <w:jc w:val="center"/>
              <w:rPr>
                <w:sz w:val="22"/>
                <w:szCs w:val="22"/>
              </w:rPr>
            </w:pPr>
            <w:r>
              <w:rPr>
                <w:rFonts w:hint="eastAsia" w:ascii="宋体" w:hAnsi="宋体" w:eastAsia="宋体" w:cs="宋体"/>
                <w:b/>
                <w:bCs/>
                <w:kern w:val="0"/>
                <w:sz w:val="22"/>
                <w:szCs w:val="22"/>
              </w:rPr>
              <w:t>性质</w:t>
            </w:r>
          </w:p>
        </w:tc>
        <w:tc>
          <w:tcPr>
            <w:tcW w:w="6508" w:type="dxa"/>
            <w:vAlign w:val="center"/>
          </w:tcPr>
          <w:p>
            <w:pPr>
              <w:spacing w:line="320" w:lineRule="exact"/>
              <w:ind w:firstLine="0" w:firstLineChars="0"/>
              <w:jc w:val="center"/>
              <w:rPr>
                <w:sz w:val="22"/>
                <w:szCs w:val="22"/>
              </w:rPr>
            </w:pPr>
            <w:r>
              <w:rPr>
                <w:rFonts w:hint="eastAsia" w:ascii="宋体" w:hAnsi="宋体" w:eastAsia="宋体" w:cs="宋体"/>
                <w:b/>
                <w:bCs/>
                <w:kern w:val="0"/>
                <w:sz w:val="22"/>
                <w:szCs w:val="22"/>
              </w:rPr>
              <w:t>建设内容及规模</w:t>
            </w:r>
          </w:p>
        </w:tc>
        <w:tc>
          <w:tcPr>
            <w:tcW w:w="870" w:type="dxa"/>
            <w:vAlign w:val="center"/>
          </w:tcPr>
          <w:p>
            <w:pPr>
              <w:spacing w:line="320" w:lineRule="exact"/>
              <w:ind w:firstLine="0" w:firstLineChars="0"/>
              <w:jc w:val="center"/>
              <w:rPr>
                <w:sz w:val="22"/>
                <w:szCs w:val="22"/>
              </w:rPr>
            </w:pPr>
            <w:r>
              <w:rPr>
                <w:rFonts w:hint="eastAsia" w:ascii="宋体" w:hAnsi="宋体" w:eastAsia="宋体" w:cs="宋体"/>
                <w:b/>
                <w:bCs/>
                <w:kern w:val="0"/>
                <w:sz w:val="22"/>
                <w:szCs w:val="22"/>
              </w:rPr>
              <w:t>建设起止年限</w:t>
            </w:r>
          </w:p>
        </w:tc>
        <w:tc>
          <w:tcPr>
            <w:tcW w:w="1127" w:type="dxa"/>
            <w:vAlign w:val="center"/>
          </w:tcPr>
          <w:p>
            <w:pPr>
              <w:spacing w:line="320" w:lineRule="exact"/>
              <w:ind w:firstLine="0" w:firstLineChars="0"/>
              <w:jc w:val="center"/>
              <w:rPr>
                <w:sz w:val="22"/>
                <w:szCs w:val="22"/>
              </w:rPr>
            </w:pPr>
            <w:r>
              <w:rPr>
                <w:rFonts w:hint="eastAsia" w:ascii="宋体" w:hAnsi="宋体" w:eastAsia="宋体" w:cs="宋体"/>
                <w:b/>
                <w:bCs/>
                <w:kern w:val="0"/>
                <w:sz w:val="22"/>
                <w:szCs w:val="22"/>
              </w:rPr>
              <w:t>总投资（万元）</w:t>
            </w:r>
          </w:p>
        </w:tc>
        <w:tc>
          <w:tcPr>
            <w:tcW w:w="993" w:type="dxa"/>
            <w:vAlign w:val="center"/>
          </w:tcPr>
          <w:p>
            <w:pPr>
              <w:spacing w:line="320" w:lineRule="exact"/>
              <w:ind w:firstLine="0" w:firstLineChars="0"/>
              <w:jc w:val="center"/>
              <w:rPr>
                <w:rFonts w:ascii="宋体" w:hAnsi="宋体" w:eastAsia="宋体"/>
                <w:b/>
                <w:bCs/>
                <w:kern w:val="0"/>
                <w:sz w:val="21"/>
                <w:szCs w:val="21"/>
              </w:rPr>
            </w:pPr>
            <w:r>
              <w:rPr>
                <w:rFonts w:eastAsia="宋体"/>
                <w:b/>
                <w:bCs/>
                <w:kern w:val="0"/>
                <w:sz w:val="21"/>
                <w:szCs w:val="21"/>
              </w:rPr>
              <w:t>“</w:t>
            </w:r>
            <w:r>
              <w:rPr>
                <w:rFonts w:ascii="宋体" w:hAnsi="宋体" w:eastAsia="宋体"/>
                <w:b/>
                <w:bCs/>
                <w:kern w:val="0"/>
                <w:sz w:val="21"/>
                <w:szCs w:val="21"/>
              </w:rPr>
              <w:t>十四五</w:t>
            </w:r>
            <w:r>
              <w:rPr>
                <w:rFonts w:eastAsia="宋体"/>
                <w:b/>
                <w:bCs/>
                <w:kern w:val="0"/>
                <w:sz w:val="21"/>
                <w:szCs w:val="21"/>
              </w:rPr>
              <w:t>”</w:t>
            </w:r>
            <w:r>
              <w:rPr>
                <w:rFonts w:ascii="宋体" w:hAnsi="宋体" w:eastAsia="宋体"/>
                <w:b/>
                <w:bCs/>
                <w:kern w:val="0"/>
                <w:sz w:val="21"/>
                <w:szCs w:val="21"/>
              </w:rPr>
              <w:t>投资</w:t>
            </w:r>
          </w:p>
          <w:p>
            <w:pPr>
              <w:spacing w:line="320" w:lineRule="exact"/>
              <w:ind w:firstLine="0" w:firstLineChars="0"/>
              <w:jc w:val="left"/>
              <w:rPr>
                <w:spacing w:val="-12"/>
                <w:sz w:val="22"/>
                <w:szCs w:val="22"/>
              </w:rPr>
            </w:pPr>
            <w:r>
              <w:rPr>
                <w:rFonts w:hint="eastAsia" w:ascii="宋体" w:hAnsi="宋体" w:eastAsia="宋体"/>
                <w:b/>
                <w:bCs/>
                <w:spacing w:val="-12"/>
                <w:kern w:val="0"/>
                <w:sz w:val="21"/>
                <w:szCs w:val="21"/>
              </w:rPr>
              <w:t>（万元）</w:t>
            </w:r>
          </w:p>
        </w:tc>
        <w:tc>
          <w:tcPr>
            <w:tcW w:w="1275" w:type="dxa"/>
            <w:vAlign w:val="center"/>
          </w:tcPr>
          <w:p>
            <w:pPr>
              <w:spacing w:line="320" w:lineRule="exact"/>
              <w:ind w:firstLine="0" w:firstLineChars="0"/>
              <w:jc w:val="center"/>
              <w:rPr>
                <w:sz w:val="28"/>
                <w:szCs w:val="28"/>
              </w:rPr>
            </w:pPr>
            <w:r>
              <w:rPr>
                <w:rFonts w:hint="eastAsia" w:ascii="宋体" w:hAnsi="宋体" w:eastAsia="宋体" w:cs="宋体"/>
                <w:b/>
                <w:bCs/>
                <w:kern w:val="0"/>
                <w:sz w:val="22"/>
                <w:szCs w:val="2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01" w:type="dxa"/>
            <w:gridSpan w:val="2"/>
            <w:vAlign w:val="center"/>
          </w:tcPr>
          <w:p>
            <w:pPr>
              <w:spacing w:line="360" w:lineRule="exact"/>
              <w:ind w:firstLine="0" w:firstLineChars="0"/>
              <w:rPr>
                <w:sz w:val="28"/>
                <w:szCs w:val="28"/>
              </w:rPr>
            </w:pPr>
            <w:r>
              <w:rPr>
                <w:rFonts w:hint="eastAsia" w:ascii="宋体" w:hAnsi="宋体" w:eastAsia="宋体" w:cs="宋体"/>
                <w:b/>
                <w:bCs/>
                <w:kern w:val="0"/>
                <w:sz w:val="21"/>
                <w:szCs w:val="21"/>
              </w:rPr>
              <w:t>总计（</w:t>
            </w:r>
            <w:r>
              <w:rPr>
                <w:rFonts w:eastAsia="宋体"/>
                <w:b/>
                <w:bCs/>
                <w:kern w:val="0"/>
                <w:sz w:val="21"/>
                <w:szCs w:val="21"/>
              </w:rPr>
              <w:t>45</w:t>
            </w:r>
            <w:r>
              <w:rPr>
                <w:rFonts w:ascii="宋体" w:hAnsi="宋体" w:eastAsia="宋体" w:cs="宋体"/>
                <w:b/>
                <w:bCs/>
                <w:kern w:val="0"/>
                <w:sz w:val="21"/>
                <w:szCs w:val="21"/>
              </w:rPr>
              <w:t>项）</w:t>
            </w:r>
          </w:p>
        </w:tc>
        <w:tc>
          <w:tcPr>
            <w:tcW w:w="885" w:type="dxa"/>
            <w:vAlign w:val="center"/>
          </w:tcPr>
          <w:p>
            <w:pPr>
              <w:spacing w:line="360" w:lineRule="exact"/>
              <w:ind w:firstLine="0" w:firstLineChars="0"/>
              <w:jc w:val="center"/>
              <w:rPr>
                <w:sz w:val="28"/>
                <w:szCs w:val="28"/>
              </w:rPr>
            </w:pPr>
          </w:p>
        </w:tc>
        <w:tc>
          <w:tcPr>
            <w:tcW w:w="6508" w:type="dxa"/>
            <w:vAlign w:val="center"/>
          </w:tcPr>
          <w:p>
            <w:pPr>
              <w:spacing w:line="360" w:lineRule="exact"/>
              <w:ind w:firstLine="0" w:firstLineChars="0"/>
              <w:rPr>
                <w:sz w:val="28"/>
                <w:szCs w:val="28"/>
              </w:rPr>
            </w:pPr>
          </w:p>
        </w:tc>
        <w:tc>
          <w:tcPr>
            <w:tcW w:w="870" w:type="dxa"/>
            <w:vAlign w:val="center"/>
          </w:tcPr>
          <w:p>
            <w:pPr>
              <w:spacing w:line="360" w:lineRule="exact"/>
              <w:ind w:firstLine="0" w:firstLineChars="0"/>
              <w:rPr>
                <w:sz w:val="28"/>
                <w:szCs w:val="28"/>
              </w:rPr>
            </w:pPr>
          </w:p>
        </w:tc>
        <w:tc>
          <w:tcPr>
            <w:tcW w:w="1127" w:type="dxa"/>
            <w:vAlign w:val="center"/>
          </w:tcPr>
          <w:p>
            <w:pPr>
              <w:spacing w:line="360" w:lineRule="exact"/>
              <w:ind w:firstLine="0" w:firstLineChars="0"/>
              <w:rPr>
                <w:sz w:val="24"/>
                <w:szCs w:val="24"/>
              </w:rPr>
            </w:pPr>
            <w:r>
              <w:rPr>
                <w:rFonts w:eastAsia="等线"/>
                <w:b/>
                <w:bCs/>
                <w:sz w:val="24"/>
                <w:szCs w:val="24"/>
              </w:rPr>
              <w:t>9204144</w:t>
            </w:r>
          </w:p>
        </w:tc>
        <w:tc>
          <w:tcPr>
            <w:tcW w:w="993" w:type="dxa"/>
            <w:vAlign w:val="center"/>
          </w:tcPr>
          <w:p>
            <w:pPr>
              <w:spacing w:line="360" w:lineRule="exact"/>
              <w:ind w:firstLine="0" w:firstLineChars="0"/>
              <w:rPr>
                <w:spacing w:val="-12"/>
                <w:sz w:val="24"/>
                <w:szCs w:val="24"/>
              </w:rPr>
            </w:pPr>
            <w:r>
              <w:rPr>
                <w:rFonts w:eastAsia="等线"/>
                <w:b/>
                <w:bCs/>
                <w:spacing w:val="-12"/>
                <w:sz w:val="24"/>
                <w:szCs w:val="24"/>
              </w:rPr>
              <w:t>5279068</w:t>
            </w:r>
          </w:p>
        </w:tc>
        <w:tc>
          <w:tcPr>
            <w:tcW w:w="1275" w:type="dxa"/>
            <w:vAlign w:val="center"/>
          </w:tcPr>
          <w:p>
            <w:pPr>
              <w:spacing w:line="36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566" w:type="dxa"/>
            <w:vAlign w:val="center"/>
          </w:tcPr>
          <w:p>
            <w:pPr>
              <w:spacing w:line="360" w:lineRule="exact"/>
              <w:ind w:firstLine="0" w:firstLineChars="0"/>
              <w:rPr>
                <w:sz w:val="28"/>
                <w:szCs w:val="28"/>
              </w:rPr>
            </w:pPr>
            <w:r>
              <w:rPr>
                <w:sz w:val="28"/>
                <w:szCs w:val="28"/>
              </w:rPr>
              <w:t>1</w:t>
            </w:r>
          </w:p>
        </w:tc>
        <w:tc>
          <w:tcPr>
            <w:tcW w:w="2235" w:type="dxa"/>
            <w:vAlign w:val="center"/>
          </w:tcPr>
          <w:p>
            <w:pPr>
              <w:spacing w:line="360" w:lineRule="exact"/>
              <w:ind w:firstLine="0" w:firstLineChars="0"/>
              <w:rPr>
                <w:sz w:val="28"/>
                <w:szCs w:val="28"/>
              </w:rPr>
            </w:pPr>
            <w:r>
              <w:rPr>
                <w:rFonts w:hint="eastAsia"/>
                <w:sz w:val="28"/>
                <w:szCs w:val="28"/>
              </w:rPr>
              <w:t>揭东经济开发区高质量发展项目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揭东经济开发区按照</w:t>
            </w:r>
            <w:r>
              <w:rPr>
                <w:sz w:val="28"/>
                <w:szCs w:val="28"/>
              </w:rPr>
              <w:t>“</w:t>
            </w:r>
            <w:r>
              <w:rPr>
                <w:rFonts w:hint="eastAsia"/>
                <w:sz w:val="28"/>
                <w:szCs w:val="28"/>
              </w:rPr>
              <w:t>一区三园</w:t>
            </w:r>
            <w:r>
              <w:rPr>
                <w:sz w:val="28"/>
                <w:szCs w:val="28"/>
              </w:rPr>
              <w:t>”</w:t>
            </w:r>
            <w:r>
              <w:rPr>
                <w:rFonts w:hint="eastAsia"/>
                <w:sz w:val="28"/>
                <w:szCs w:val="28"/>
              </w:rPr>
              <w:t>的布局进行开发建设，目前综合产业园、环保生态园已基本建成，共有规上企业</w:t>
            </w:r>
            <w:r>
              <w:rPr>
                <w:sz w:val="28"/>
                <w:szCs w:val="28"/>
              </w:rPr>
              <w:t>80</w:t>
            </w:r>
            <w:r>
              <w:rPr>
                <w:rFonts w:hint="eastAsia"/>
                <w:sz w:val="28"/>
                <w:szCs w:val="28"/>
              </w:rPr>
              <w:t>家，</w:t>
            </w:r>
            <w:r>
              <w:rPr>
                <w:sz w:val="28"/>
                <w:szCs w:val="28"/>
              </w:rPr>
              <w:t>“</w:t>
            </w:r>
            <w:r>
              <w:rPr>
                <w:rFonts w:hint="eastAsia"/>
                <w:sz w:val="28"/>
                <w:szCs w:val="28"/>
              </w:rPr>
              <w:t>十四五</w:t>
            </w:r>
            <w:r>
              <w:rPr>
                <w:sz w:val="28"/>
                <w:szCs w:val="28"/>
              </w:rPr>
              <w:t>”</w:t>
            </w:r>
            <w:r>
              <w:rPr>
                <w:rFonts w:hint="eastAsia"/>
                <w:sz w:val="28"/>
                <w:szCs w:val="28"/>
              </w:rPr>
              <w:t>力争推动两个园区企业</w:t>
            </w:r>
            <w:r>
              <w:rPr>
                <w:sz w:val="28"/>
                <w:szCs w:val="28"/>
              </w:rPr>
              <w:t>80%</w:t>
            </w:r>
            <w:r>
              <w:rPr>
                <w:rFonts w:hint="eastAsia"/>
                <w:sz w:val="28"/>
                <w:szCs w:val="28"/>
              </w:rPr>
              <w:t>以上完成转型升级，计划投资</w:t>
            </w:r>
            <w:r>
              <w:rPr>
                <w:sz w:val="28"/>
                <w:szCs w:val="28"/>
              </w:rPr>
              <w:t>50</w:t>
            </w:r>
            <w:r>
              <w:rPr>
                <w:rFonts w:hint="eastAsia"/>
                <w:sz w:val="28"/>
                <w:szCs w:val="28"/>
              </w:rPr>
              <w:t>亿元；新型工业园规划面积</w:t>
            </w:r>
            <w:r>
              <w:rPr>
                <w:sz w:val="28"/>
                <w:szCs w:val="28"/>
              </w:rPr>
              <w:t>10.74</w:t>
            </w:r>
            <w:r>
              <w:rPr>
                <w:rFonts w:hint="eastAsia"/>
                <w:sz w:val="28"/>
                <w:szCs w:val="28"/>
              </w:rPr>
              <w:t>平方公里，目前已引进企业</w:t>
            </w:r>
            <w:r>
              <w:rPr>
                <w:sz w:val="28"/>
                <w:szCs w:val="28"/>
              </w:rPr>
              <w:t>42</w:t>
            </w:r>
            <w:r>
              <w:rPr>
                <w:rFonts w:hint="eastAsia"/>
                <w:sz w:val="28"/>
                <w:szCs w:val="28"/>
              </w:rPr>
              <w:t>家，建成投产</w:t>
            </w:r>
            <w:r>
              <w:rPr>
                <w:sz w:val="28"/>
                <w:szCs w:val="28"/>
              </w:rPr>
              <w:t>7</w:t>
            </w:r>
            <w:r>
              <w:rPr>
                <w:rFonts w:hint="eastAsia"/>
                <w:sz w:val="28"/>
                <w:szCs w:val="28"/>
              </w:rPr>
              <w:t>家，在建企业</w:t>
            </w:r>
            <w:r>
              <w:rPr>
                <w:sz w:val="28"/>
                <w:szCs w:val="28"/>
              </w:rPr>
              <w:t>20</w:t>
            </w:r>
            <w:r>
              <w:rPr>
                <w:rFonts w:hint="eastAsia"/>
                <w:sz w:val="28"/>
                <w:szCs w:val="28"/>
              </w:rPr>
              <w:t>家，</w:t>
            </w:r>
            <w:r>
              <w:rPr>
                <w:sz w:val="28"/>
                <w:szCs w:val="28"/>
              </w:rPr>
              <w:t>“</w:t>
            </w:r>
            <w:r>
              <w:rPr>
                <w:rFonts w:hint="eastAsia"/>
                <w:sz w:val="28"/>
                <w:szCs w:val="28"/>
              </w:rPr>
              <w:t>十四五</w:t>
            </w:r>
            <w:r>
              <w:rPr>
                <w:sz w:val="28"/>
                <w:szCs w:val="28"/>
              </w:rPr>
              <w:t>”</w:t>
            </w:r>
            <w:r>
              <w:rPr>
                <w:rFonts w:hint="eastAsia"/>
                <w:sz w:val="28"/>
                <w:szCs w:val="28"/>
              </w:rPr>
              <w:t>期间将引进企业</w:t>
            </w:r>
            <w:r>
              <w:rPr>
                <w:sz w:val="28"/>
                <w:szCs w:val="28"/>
              </w:rPr>
              <w:t>30</w:t>
            </w:r>
            <w:r>
              <w:rPr>
                <w:rFonts w:hint="eastAsia"/>
                <w:sz w:val="28"/>
                <w:szCs w:val="28"/>
              </w:rPr>
              <w:t>家以上，合同投资</w:t>
            </w:r>
            <w:r>
              <w:rPr>
                <w:sz w:val="28"/>
                <w:szCs w:val="28"/>
              </w:rPr>
              <w:t>80</w:t>
            </w:r>
            <w:r>
              <w:rPr>
                <w:rFonts w:hint="eastAsia"/>
                <w:sz w:val="28"/>
                <w:szCs w:val="28"/>
              </w:rPr>
              <w:t>亿元以上。整个园区完成投资</w:t>
            </w:r>
            <w:r>
              <w:rPr>
                <w:sz w:val="28"/>
                <w:szCs w:val="28"/>
              </w:rPr>
              <w:t>100</w:t>
            </w:r>
            <w:r>
              <w:rPr>
                <w:rFonts w:hint="eastAsia"/>
                <w:sz w:val="28"/>
                <w:szCs w:val="28"/>
              </w:rPr>
              <w:t>亿元以上；园区基础是设施配套建设完成投资</w:t>
            </w:r>
            <w:r>
              <w:rPr>
                <w:sz w:val="28"/>
                <w:szCs w:val="28"/>
              </w:rPr>
              <w:t>10</w:t>
            </w:r>
            <w:r>
              <w:rPr>
                <w:rFonts w:hint="eastAsia"/>
                <w:sz w:val="28"/>
                <w:szCs w:val="28"/>
              </w:rPr>
              <w:t>亿元以上。园区工业增加值从</w:t>
            </w:r>
            <w:r>
              <w:rPr>
                <w:sz w:val="28"/>
                <w:szCs w:val="28"/>
              </w:rPr>
              <w:t>2019</w:t>
            </w:r>
            <w:r>
              <w:rPr>
                <w:rFonts w:hint="eastAsia"/>
                <w:sz w:val="28"/>
                <w:szCs w:val="28"/>
              </w:rPr>
              <w:t>年的</w:t>
            </w:r>
            <w:r>
              <w:rPr>
                <w:sz w:val="28"/>
                <w:szCs w:val="28"/>
              </w:rPr>
              <w:t>70.8</w:t>
            </w:r>
            <w:r>
              <w:rPr>
                <w:rFonts w:hint="eastAsia"/>
                <w:sz w:val="28"/>
                <w:szCs w:val="28"/>
              </w:rPr>
              <w:t>亿元增长到</w:t>
            </w:r>
            <w:r>
              <w:rPr>
                <w:sz w:val="28"/>
                <w:szCs w:val="28"/>
              </w:rPr>
              <w:t>2025</w:t>
            </w:r>
            <w:r>
              <w:rPr>
                <w:rFonts w:hint="eastAsia"/>
                <w:sz w:val="28"/>
                <w:szCs w:val="28"/>
              </w:rPr>
              <w:t>年的</w:t>
            </w:r>
            <w:r>
              <w:rPr>
                <w:sz w:val="28"/>
                <w:szCs w:val="28"/>
              </w:rPr>
              <w:t>120</w:t>
            </w:r>
            <w:r>
              <w:rPr>
                <w:rFonts w:hint="eastAsia"/>
                <w:sz w:val="28"/>
                <w:szCs w:val="28"/>
              </w:rPr>
              <w:t>亿元。</w:t>
            </w:r>
          </w:p>
        </w:tc>
        <w:tc>
          <w:tcPr>
            <w:tcW w:w="870" w:type="dxa"/>
            <w:vAlign w:val="center"/>
          </w:tcPr>
          <w:p>
            <w:pPr>
              <w:spacing w:line="360" w:lineRule="exact"/>
              <w:ind w:firstLine="0" w:firstLineChars="0"/>
              <w:rPr>
                <w:sz w:val="24"/>
                <w:szCs w:val="24"/>
              </w:rPr>
            </w:pPr>
            <w:r>
              <w:rPr>
                <w:sz w:val="24"/>
                <w:szCs w:val="24"/>
              </w:rPr>
              <w:t>1992-2025</w:t>
            </w:r>
          </w:p>
        </w:tc>
        <w:tc>
          <w:tcPr>
            <w:tcW w:w="1127" w:type="dxa"/>
            <w:vAlign w:val="center"/>
          </w:tcPr>
          <w:p>
            <w:pPr>
              <w:spacing w:line="360" w:lineRule="exact"/>
              <w:ind w:firstLine="0" w:firstLineChars="0"/>
              <w:rPr>
                <w:sz w:val="24"/>
                <w:szCs w:val="24"/>
              </w:rPr>
            </w:pPr>
            <w:r>
              <w:rPr>
                <w:sz w:val="24"/>
                <w:szCs w:val="24"/>
              </w:rPr>
              <w:t>3200000</w:t>
            </w:r>
          </w:p>
        </w:tc>
        <w:tc>
          <w:tcPr>
            <w:tcW w:w="993" w:type="dxa"/>
            <w:vAlign w:val="center"/>
          </w:tcPr>
          <w:p>
            <w:pPr>
              <w:spacing w:line="360" w:lineRule="exact"/>
              <w:ind w:firstLine="0" w:firstLineChars="0"/>
              <w:rPr>
                <w:spacing w:val="-10"/>
                <w:sz w:val="24"/>
                <w:szCs w:val="24"/>
              </w:rPr>
            </w:pPr>
            <w:r>
              <w:rPr>
                <w:spacing w:val="-10"/>
                <w:sz w:val="24"/>
                <w:szCs w:val="24"/>
              </w:rPr>
              <w:t>1600000</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66" w:type="dxa"/>
            <w:vAlign w:val="center"/>
          </w:tcPr>
          <w:p>
            <w:pPr>
              <w:spacing w:line="360" w:lineRule="exact"/>
              <w:ind w:firstLine="0" w:firstLineChars="0"/>
              <w:rPr>
                <w:sz w:val="28"/>
                <w:szCs w:val="28"/>
              </w:rPr>
            </w:pPr>
            <w:r>
              <w:rPr>
                <w:sz w:val="28"/>
                <w:szCs w:val="28"/>
              </w:rPr>
              <w:t>2</w:t>
            </w:r>
          </w:p>
        </w:tc>
        <w:tc>
          <w:tcPr>
            <w:tcW w:w="2235" w:type="dxa"/>
            <w:vAlign w:val="center"/>
          </w:tcPr>
          <w:p>
            <w:pPr>
              <w:spacing w:line="360" w:lineRule="exact"/>
              <w:ind w:firstLine="0" w:firstLineChars="0"/>
              <w:rPr>
                <w:sz w:val="28"/>
                <w:szCs w:val="28"/>
              </w:rPr>
            </w:pPr>
            <w:r>
              <w:rPr>
                <w:rFonts w:hint="eastAsia"/>
                <w:sz w:val="28"/>
                <w:szCs w:val="28"/>
              </w:rPr>
              <w:t>揭东区革命老区振兴发展项目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加强革命老区基础设施建设，提升基本公共服务水平，强化红色资源保护利用，推进乡村振兴。</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300000</w:t>
            </w:r>
          </w:p>
        </w:tc>
        <w:tc>
          <w:tcPr>
            <w:tcW w:w="993" w:type="dxa"/>
            <w:vAlign w:val="center"/>
          </w:tcPr>
          <w:p>
            <w:pPr>
              <w:spacing w:line="360" w:lineRule="exact"/>
              <w:ind w:firstLine="0" w:firstLineChars="0"/>
              <w:rPr>
                <w:sz w:val="24"/>
                <w:szCs w:val="24"/>
              </w:rPr>
            </w:pPr>
            <w:r>
              <w:rPr>
                <w:sz w:val="24"/>
                <w:szCs w:val="24"/>
              </w:rPr>
              <w:t>300000</w:t>
            </w:r>
          </w:p>
        </w:tc>
        <w:tc>
          <w:tcPr>
            <w:tcW w:w="1275" w:type="dxa"/>
            <w:vAlign w:val="center"/>
          </w:tcPr>
          <w:p>
            <w:pPr>
              <w:spacing w:line="360" w:lineRule="exact"/>
              <w:ind w:firstLine="0" w:firstLineChars="0"/>
              <w:jc w:val="left"/>
              <w:rPr>
                <w:sz w:val="28"/>
                <w:szCs w:val="28"/>
              </w:rPr>
            </w:pPr>
            <w:r>
              <w:rPr>
                <w:rFonts w:hint="eastAsia"/>
                <w:sz w:val="28"/>
                <w:szCs w:val="28"/>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2" w:hRule="atLeast"/>
        </w:trPr>
        <w:tc>
          <w:tcPr>
            <w:tcW w:w="566" w:type="dxa"/>
            <w:vAlign w:val="center"/>
          </w:tcPr>
          <w:p>
            <w:pPr>
              <w:spacing w:line="360" w:lineRule="exact"/>
              <w:ind w:firstLine="0" w:firstLineChars="0"/>
              <w:rPr>
                <w:sz w:val="28"/>
                <w:szCs w:val="28"/>
              </w:rPr>
            </w:pPr>
            <w:r>
              <w:rPr>
                <w:sz w:val="28"/>
                <w:szCs w:val="28"/>
              </w:rPr>
              <w:t>3</w:t>
            </w:r>
          </w:p>
        </w:tc>
        <w:tc>
          <w:tcPr>
            <w:tcW w:w="2235" w:type="dxa"/>
            <w:vAlign w:val="center"/>
          </w:tcPr>
          <w:p>
            <w:pPr>
              <w:spacing w:line="360" w:lineRule="exact"/>
              <w:ind w:firstLine="0" w:firstLineChars="0"/>
              <w:rPr>
                <w:sz w:val="28"/>
                <w:szCs w:val="28"/>
              </w:rPr>
            </w:pPr>
            <w:r>
              <w:rPr>
                <w:rFonts w:hint="eastAsia"/>
                <w:sz w:val="28"/>
                <w:szCs w:val="28"/>
              </w:rPr>
              <w:t>揭阳高铁新城项目（含高铁站道路工程、高铁新城高端电商平台）</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以“互联网</w:t>
            </w:r>
            <w:r>
              <w:rPr>
                <w:sz w:val="28"/>
                <w:szCs w:val="28"/>
              </w:rPr>
              <w:t>+</w:t>
            </w:r>
            <w:r>
              <w:rPr>
                <w:rFonts w:hint="eastAsia"/>
                <w:sz w:val="28"/>
                <w:szCs w:val="28"/>
              </w:rPr>
              <w:t>”为引领，以电商产业发展为核心，大力发展现代物流、商贸会展、文化旅游等服务业，促进电商与特色食品、五金制品、玉石等传统产业融合发展，提升行业协同创新、精准制造、精细管理水平，完善电商产业链条，积极培育新业态，提高产品技术含量和附加值，打造以电子商务为核心的产业生态圈。</w:t>
            </w:r>
          </w:p>
          <w:p>
            <w:pPr>
              <w:spacing w:line="360" w:lineRule="exact"/>
              <w:ind w:firstLine="0" w:firstLineChars="0"/>
              <w:rPr>
                <w:sz w:val="28"/>
                <w:szCs w:val="28"/>
              </w:rPr>
            </w:pPr>
            <w:r>
              <w:rPr>
                <w:rFonts w:hint="eastAsia"/>
                <w:sz w:val="28"/>
                <w:szCs w:val="28"/>
              </w:rPr>
              <w:t>新城空间布局划分为六大功能片区，分别是交通集散片区、现代物流片区、电子商务片区、展贸交易片区、特色生产片区、高端居住片区。</w:t>
            </w:r>
          </w:p>
        </w:tc>
        <w:tc>
          <w:tcPr>
            <w:tcW w:w="870" w:type="dxa"/>
            <w:vAlign w:val="center"/>
          </w:tcPr>
          <w:p>
            <w:pPr>
              <w:spacing w:line="360" w:lineRule="exact"/>
              <w:ind w:firstLine="0" w:firstLineChars="0"/>
              <w:rPr>
                <w:sz w:val="24"/>
                <w:szCs w:val="24"/>
              </w:rPr>
            </w:pPr>
            <w:r>
              <w:rPr>
                <w:sz w:val="24"/>
                <w:szCs w:val="24"/>
              </w:rPr>
              <w:t>2020-2030</w:t>
            </w:r>
          </w:p>
        </w:tc>
        <w:tc>
          <w:tcPr>
            <w:tcW w:w="1127" w:type="dxa"/>
            <w:vAlign w:val="center"/>
          </w:tcPr>
          <w:p>
            <w:pPr>
              <w:spacing w:line="360" w:lineRule="exact"/>
              <w:ind w:firstLine="0" w:firstLineChars="0"/>
              <w:rPr>
                <w:sz w:val="24"/>
                <w:szCs w:val="24"/>
              </w:rPr>
            </w:pPr>
            <w:r>
              <w:rPr>
                <w:sz w:val="24"/>
                <w:szCs w:val="24"/>
              </w:rPr>
              <w:t>600000</w:t>
            </w:r>
          </w:p>
        </w:tc>
        <w:tc>
          <w:tcPr>
            <w:tcW w:w="993" w:type="dxa"/>
            <w:vAlign w:val="center"/>
          </w:tcPr>
          <w:p>
            <w:pPr>
              <w:spacing w:line="360" w:lineRule="exact"/>
              <w:ind w:firstLine="0" w:firstLineChars="0"/>
              <w:rPr>
                <w:sz w:val="24"/>
                <w:szCs w:val="24"/>
              </w:rPr>
            </w:pPr>
            <w:r>
              <w:rPr>
                <w:sz w:val="24"/>
                <w:szCs w:val="24"/>
              </w:rPr>
              <w:t>400000</w:t>
            </w:r>
          </w:p>
        </w:tc>
        <w:tc>
          <w:tcPr>
            <w:tcW w:w="1275" w:type="dxa"/>
            <w:vAlign w:val="center"/>
          </w:tcPr>
          <w:p>
            <w:pPr>
              <w:spacing w:line="360" w:lineRule="exact"/>
              <w:ind w:firstLine="0" w:firstLineChars="0"/>
              <w:rPr>
                <w:sz w:val="28"/>
                <w:szCs w:val="28"/>
              </w:rPr>
            </w:pPr>
            <w:r>
              <w:rPr>
                <w:rFonts w:hint="eastAsia"/>
                <w:sz w:val="28"/>
                <w:szCs w:val="28"/>
              </w:rPr>
              <w:t>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trPr>
        <w:tc>
          <w:tcPr>
            <w:tcW w:w="566" w:type="dxa"/>
            <w:vAlign w:val="center"/>
          </w:tcPr>
          <w:p>
            <w:pPr>
              <w:spacing w:line="360" w:lineRule="exact"/>
              <w:ind w:firstLine="0" w:firstLineChars="0"/>
              <w:rPr>
                <w:sz w:val="28"/>
                <w:szCs w:val="28"/>
              </w:rPr>
            </w:pPr>
            <w:r>
              <w:rPr>
                <w:rFonts w:hint="eastAsia"/>
                <w:sz w:val="28"/>
                <w:szCs w:val="28"/>
              </w:rPr>
              <w:t>4</w:t>
            </w:r>
          </w:p>
        </w:tc>
        <w:tc>
          <w:tcPr>
            <w:tcW w:w="2235" w:type="dxa"/>
            <w:vAlign w:val="center"/>
          </w:tcPr>
          <w:p>
            <w:pPr>
              <w:spacing w:line="360" w:lineRule="exact"/>
              <w:ind w:firstLine="0" w:firstLineChars="0"/>
              <w:rPr>
                <w:sz w:val="28"/>
                <w:szCs w:val="28"/>
              </w:rPr>
            </w:pPr>
            <w:r>
              <w:rPr>
                <w:rFonts w:hint="eastAsia"/>
                <w:sz w:val="28"/>
                <w:szCs w:val="28"/>
              </w:rPr>
              <w:t>揭东区埔田特色小镇</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80" w:lineRule="exact"/>
              <w:ind w:firstLine="0" w:firstLineChars="0"/>
              <w:rPr>
                <w:sz w:val="28"/>
                <w:szCs w:val="28"/>
              </w:rPr>
            </w:pPr>
            <w:r>
              <w:rPr>
                <w:rFonts w:hint="eastAsia"/>
                <w:sz w:val="28"/>
                <w:szCs w:val="28"/>
              </w:rPr>
              <w:t>规划建设国家级特色小镇，主要建设埔田镇美丽乡村建设（省级农村示范片建设）、埔田镇休闲农业旅游建设项目、县道</w:t>
            </w:r>
            <w:r>
              <w:rPr>
                <w:sz w:val="28"/>
                <w:szCs w:val="28"/>
              </w:rPr>
              <w:t>114</w:t>
            </w:r>
            <w:r>
              <w:rPr>
                <w:rFonts w:hint="eastAsia"/>
                <w:sz w:val="28"/>
                <w:szCs w:val="28"/>
              </w:rPr>
              <w:t>线提升工程、乡村道路建设项目、万竹园酒店、念恩山生态旅游区扩建项目、揭阳市聚龙岭生态休闲旅游度假区</w:t>
            </w:r>
          </w:p>
        </w:tc>
        <w:tc>
          <w:tcPr>
            <w:tcW w:w="870" w:type="dxa"/>
            <w:vAlign w:val="center"/>
          </w:tcPr>
          <w:p>
            <w:pPr>
              <w:spacing w:line="360" w:lineRule="exact"/>
              <w:ind w:firstLine="0" w:firstLineChars="0"/>
              <w:rPr>
                <w:sz w:val="24"/>
                <w:szCs w:val="24"/>
              </w:rPr>
            </w:pPr>
            <w:r>
              <w:rPr>
                <w:sz w:val="24"/>
                <w:szCs w:val="24"/>
              </w:rPr>
              <w:t>2020-2025</w:t>
            </w:r>
          </w:p>
        </w:tc>
        <w:tc>
          <w:tcPr>
            <w:tcW w:w="1127" w:type="dxa"/>
            <w:vAlign w:val="center"/>
          </w:tcPr>
          <w:p>
            <w:pPr>
              <w:spacing w:line="360" w:lineRule="exact"/>
              <w:ind w:firstLine="0" w:firstLineChars="0"/>
              <w:rPr>
                <w:sz w:val="24"/>
                <w:szCs w:val="24"/>
              </w:rPr>
            </w:pPr>
            <w:r>
              <w:rPr>
                <w:sz w:val="24"/>
                <w:szCs w:val="24"/>
              </w:rPr>
              <w:t>118500</w:t>
            </w:r>
          </w:p>
        </w:tc>
        <w:tc>
          <w:tcPr>
            <w:tcW w:w="993" w:type="dxa"/>
            <w:vAlign w:val="center"/>
          </w:tcPr>
          <w:p>
            <w:pPr>
              <w:spacing w:line="360" w:lineRule="exact"/>
              <w:ind w:firstLine="0" w:firstLineChars="0"/>
              <w:rPr>
                <w:sz w:val="24"/>
                <w:szCs w:val="24"/>
              </w:rPr>
            </w:pPr>
            <w:r>
              <w:rPr>
                <w:sz w:val="24"/>
                <w:szCs w:val="24"/>
              </w:rPr>
              <w:t>100500</w:t>
            </w:r>
          </w:p>
        </w:tc>
        <w:tc>
          <w:tcPr>
            <w:tcW w:w="1275" w:type="dxa"/>
            <w:vAlign w:val="center"/>
          </w:tcPr>
          <w:p>
            <w:pPr>
              <w:spacing w:line="360" w:lineRule="exact"/>
              <w:ind w:firstLine="0" w:firstLineChars="0"/>
              <w:rPr>
                <w:sz w:val="28"/>
                <w:szCs w:val="28"/>
              </w:rPr>
            </w:pPr>
            <w:r>
              <w:rPr>
                <w:rFonts w:hint="eastAsia"/>
                <w:sz w:val="28"/>
                <w:szCs w:val="28"/>
              </w:rPr>
              <w:t>埔田镇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6" w:type="dxa"/>
            <w:vAlign w:val="center"/>
          </w:tcPr>
          <w:p>
            <w:pPr>
              <w:spacing w:line="360" w:lineRule="exact"/>
              <w:ind w:firstLine="0" w:firstLineChars="0"/>
              <w:rPr>
                <w:sz w:val="28"/>
                <w:szCs w:val="28"/>
              </w:rPr>
            </w:pPr>
            <w:r>
              <w:rPr>
                <w:rFonts w:hint="eastAsia"/>
                <w:sz w:val="28"/>
                <w:szCs w:val="28"/>
              </w:rPr>
              <w:t>5</w:t>
            </w:r>
          </w:p>
        </w:tc>
        <w:tc>
          <w:tcPr>
            <w:tcW w:w="2235" w:type="dxa"/>
            <w:vAlign w:val="center"/>
          </w:tcPr>
          <w:p>
            <w:pPr>
              <w:spacing w:line="360" w:lineRule="exact"/>
              <w:ind w:firstLine="0" w:firstLineChars="0"/>
              <w:rPr>
                <w:sz w:val="28"/>
                <w:szCs w:val="28"/>
              </w:rPr>
            </w:pPr>
            <w:r>
              <w:rPr>
                <w:rFonts w:hint="eastAsia"/>
                <w:sz w:val="28"/>
                <w:szCs w:val="28"/>
              </w:rPr>
              <w:t>望天湖生态康养小镇</w:t>
            </w:r>
            <w:r>
              <w:rPr>
                <w:sz w:val="28"/>
                <w:szCs w:val="28"/>
              </w:rPr>
              <w:t>(</w:t>
            </w:r>
            <w:r>
              <w:rPr>
                <w:rFonts w:hint="eastAsia"/>
                <w:sz w:val="28"/>
                <w:szCs w:val="28"/>
              </w:rPr>
              <w:t>红坡村、广和村、广联村）</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望天湖生态康养特色小镇规划面积约</w:t>
            </w:r>
            <w:r>
              <w:rPr>
                <w:sz w:val="28"/>
                <w:szCs w:val="28"/>
              </w:rPr>
              <w:t>5.33</w:t>
            </w:r>
            <w:r>
              <w:rPr>
                <w:rFonts w:hint="eastAsia"/>
                <w:sz w:val="28"/>
                <w:szCs w:val="28"/>
              </w:rPr>
              <w:t>平方公里</w:t>
            </w:r>
            <w:r>
              <w:rPr>
                <w:sz w:val="28"/>
                <w:szCs w:val="28"/>
              </w:rPr>
              <w:t>,</w:t>
            </w:r>
            <w:r>
              <w:rPr>
                <w:rFonts w:hint="eastAsia"/>
                <w:sz w:val="28"/>
                <w:szCs w:val="28"/>
              </w:rPr>
              <w:t>涉及红坡村、广和村、广联村，项目以</w:t>
            </w:r>
            <w:r>
              <w:rPr>
                <w:sz w:val="28"/>
                <w:szCs w:val="28"/>
              </w:rPr>
              <w:t>“</w:t>
            </w:r>
            <w:r>
              <w:rPr>
                <w:rFonts w:hint="eastAsia"/>
                <w:sz w:val="28"/>
                <w:szCs w:val="28"/>
              </w:rPr>
              <w:t>大医疗</w:t>
            </w:r>
            <w:r>
              <w:rPr>
                <w:sz w:val="28"/>
                <w:szCs w:val="28"/>
              </w:rPr>
              <w:t>+</w:t>
            </w:r>
            <w:r>
              <w:rPr>
                <w:rFonts w:hint="eastAsia"/>
                <w:sz w:val="28"/>
                <w:szCs w:val="28"/>
              </w:rPr>
              <w:t>大养生</w:t>
            </w:r>
            <w:r>
              <w:rPr>
                <w:sz w:val="28"/>
                <w:szCs w:val="28"/>
              </w:rPr>
              <w:t>”</w:t>
            </w:r>
            <w:r>
              <w:rPr>
                <w:rFonts w:hint="eastAsia"/>
                <w:sz w:val="28"/>
                <w:szCs w:val="28"/>
              </w:rPr>
              <w:t>产业培育为主，重点发展中医研发、医疗服务、创意孵化、中医养生、健体康体、休闲养心等功能，打造高端健康产业基地、生态休闲养生高地，以传统岭南健康文化为主线，将小镇打造成为</w:t>
            </w:r>
            <w:r>
              <w:rPr>
                <w:sz w:val="28"/>
                <w:szCs w:val="28"/>
              </w:rPr>
              <w:t>“</w:t>
            </w:r>
            <w:r>
              <w:rPr>
                <w:rFonts w:hint="eastAsia"/>
                <w:sz w:val="28"/>
                <w:szCs w:val="28"/>
              </w:rPr>
              <w:t>宜创、宜业、宜居、宜游、宜享</w:t>
            </w:r>
            <w:r>
              <w:rPr>
                <w:sz w:val="28"/>
                <w:szCs w:val="28"/>
              </w:rPr>
              <w:t>”</w:t>
            </w:r>
            <w:r>
              <w:rPr>
                <w:rFonts w:hint="eastAsia"/>
                <w:sz w:val="28"/>
                <w:szCs w:val="28"/>
              </w:rPr>
              <w:t>的生命健康小镇。</w:t>
            </w:r>
          </w:p>
        </w:tc>
        <w:tc>
          <w:tcPr>
            <w:tcW w:w="870" w:type="dxa"/>
            <w:vAlign w:val="center"/>
          </w:tcPr>
          <w:p>
            <w:pPr>
              <w:spacing w:line="360" w:lineRule="exact"/>
              <w:ind w:firstLine="0" w:firstLineChars="0"/>
              <w:rPr>
                <w:sz w:val="24"/>
                <w:szCs w:val="24"/>
              </w:rPr>
            </w:pPr>
            <w:r>
              <w:rPr>
                <w:sz w:val="24"/>
                <w:szCs w:val="24"/>
              </w:rPr>
              <w:t>2017-2025</w:t>
            </w:r>
          </w:p>
        </w:tc>
        <w:tc>
          <w:tcPr>
            <w:tcW w:w="1127" w:type="dxa"/>
            <w:vAlign w:val="center"/>
          </w:tcPr>
          <w:p>
            <w:pPr>
              <w:spacing w:line="360" w:lineRule="exact"/>
              <w:ind w:firstLine="0" w:firstLineChars="0"/>
              <w:rPr>
                <w:sz w:val="24"/>
                <w:szCs w:val="24"/>
              </w:rPr>
            </w:pPr>
            <w:r>
              <w:rPr>
                <w:sz w:val="24"/>
                <w:szCs w:val="24"/>
              </w:rPr>
              <w:t>359500</w:t>
            </w:r>
          </w:p>
        </w:tc>
        <w:tc>
          <w:tcPr>
            <w:tcW w:w="993" w:type="dxa"/>
            <w:vAlign w:val="center"/>
          </w:tcPr>
          <w:p>
            <w:pPr>
              <w:spacing w:line="360" w:lineRule="exact"/>
              <w:ind w:firstLine="0" w:firstLineChars="0"/>
              <w:rPr>
                <w:sz w:val="24"/>
                <w:szCs w:val="24"/>
              </w:rPr>
            </w:pPr>
            <w:r>
              <w:rPr>
                <w:sz w:val="24"/>
                <w:szCs w:val="24"/>
              </w:rPr>
              <w:t>239800</w:t>
            </w:r>
          </w:p>
        </w:tc>
        <w:tc>
          <w:tcPr>
            <w:tcW w:w="1275" w:type="dxa"/>
            <w:vAlign w:val="center"/>
          </w:tcPr>
          <w:p>
            <w:pPr>
              <w:spacing w:line="360" w:lineRule="exact"/>
              <w:ind w:firstLine="0" w:firstLineChars="0"/>
              <w:rPr>
                <w:sz w:val="28"/>
                <w:szCs w:val="28"/>
              </w:rPr>
            </w:pPr>
            <w:r>
              <w:rPr>
                <w:rFonts w:hint="eastAsia"/>
                <w:sz w:val="28"/>
                <w:szCs w:val="28"/>
              </w:rPr>
              <w:t>白塔镇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6" w:type="dxa"/>
            <w:vAlign w:val="center"/>
          </w:tcPr>
          <w:p>
            <w:pPr>
              <w:spacing w:line="360" w:lineRule="exact"/>
              <w:ind w:firstLine="0" w:firstLineChars="0"/>
              <w:rPr>
                <w:sz w:val="28"/>
                <w:szCs w:val="28"/>
              </w:rPr>
            </w:pPr>
            <w:r>
              <w:rPr>
                <w:rFonts w:hint="eastAsia"/>
                <w:sz w:val="28"/>
                <w:szCs w:val="28"/>
              </w:rPr>
              <w:t>6</w:t>
            </w:r>
          </w:p>
        </w:tc>
        <w:tc>
          <w:tcPr>
            <w:tcW w:w="2235" w:type="dxa"/>
            <w:vAlign w:val="center"/>
          </w:tcPr>
          <w:p>
            <w:pPr>
              <w:spacing w:line="360" w:lineRule="exact"/>
              <w:ind w:firstLine="0" w:firstLineChars="0"/>
              <w:rPr>
                <w:sz w:val="28"/>
                <w:szCs w:val="28"/>
              </w:rPr>
            </w:pPr>
            <w:r>
              <w:rPr>
                <w:rFonts w:hint="eastAsia"/>
                <w:sz w:val="28"/>
                <w:szCs w:val="28"/>
              </w:rPr>
              <w:t>揭东玉湖历史文化小镇项目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规划面积</w:t>
            </w:r>
            <w:r>
              <w:rPr>
                <w:sz w:val="28"/>
                <w:szCs w:val="28"/>
              </w:rPr>
              <w:t>8.18</w:t>
            </w:r>
            <w:r>
              <w:rPr>
                <w:rFonts w:hint="eastAsia"/>
                <w:sz w:val="28"/>
                <w:szCs w:val="28"/>
              </w:rPr>
              <w:t>平方公里，计划建设时光小镇商住综合项目、新寮村改造项目、森哒星亲子度假乐园项目、玉湖国际森林项目、汾水战役纪念公园项目、黄旭华院士纪念广场以及榕江北河两岸滨江绿地项目等。</w:t>
            </w:r>
          </w:p>
        </w:tc>
        <w:tc>
          <w:tcPr>
            <w:tcW w:w="870" w:type="dxa"/>
            <w:vAlign w:val="center"/>
          </w:tcPr>
          <w:p>
            <w:pPr>
              <w:spacing w:line="360" w:lineRule="exact"/>
              <w:ind w:firstLine="0" w:firstLineChars="0"/>
              <w:rPr>
                <w:sz w:val="24"/>
                <w:szCs w:val="24"/>
              </w:rPr>
            </w:pPr>
            <w:r>
              <w:rPr>
                <w:sz w:val="24"/>
                <w:szCs w:val="24"/>
              </w:rPr>
              <w:t>2021-2030</w:t>
            </w:r>
          </w:p>
        </w:tc>
        <w:tc>
          <w:tcPr>
            <w:tcW w:w="1127" w:type="dxa"/>
            <w:vAlign w:val="center"/>
          </w:tcPr>
          <w:p>
            <w:pPr>
              <w:spacing w:line="360" w:lineRule="exact"/>
              <w:ind w:firstLine="0" w:firstLineChars="0"/>
              <w:rPr>
                <w:sz w:val="24"/>
                <w:szCs w:val="24"/>
              </w:rPr>
            </w:pPr>
            <w:r>
              <w:rPr>
                <w:sz w:val="24"/>
                <w:szCs w:val="24"/>
              </w:rPr>
              <w:t>2000000</w:t>
            </w:r>
          </w:p>
        </w:tc>
        <w:tc>
          <w:tcPr>
            <w:tcW w:w="993" w:type="dxa"/>
            <w:vAlign w:val="center"/>
          </w:tcPr>
          <w:p>
            <w:pPr>
              <w:spacing w:line="360" w:lineRule="exact"/>
              <w:ind w:firstLine="0" w:firstLineChars="0"/>
              <w:rPr>
                <w:sz w:val="24"/>
                <w:szCs w:val="24"/>
              </w:rPr>
            </w:pPr>
            <w:r>
              <w:rPr>
                <w:sz w:val="24"/>
                <w:szCs w:val="24"/>
              </w:rPr>
              <w:t>600000</w:t>
            </w:r>
          </w:p>
        </w:tc>
        <w:tc>
          <w:tcPr>
            <w:tcW w:w="1275" w:type="dxa"/>
            <w:vAlign w:val="center"/>
          </w:tcPr>
          <w:p>
            <w:pPr>
              <w:spacing w:line="360" w:lineRule="exact"/>
              <w:ind w:firstLine="0" w:firstLineChars="0"/>
              <w:rPr>
                <w:sz w:val="28"/>
                <w:szCs w:val="28"/>
              </w:rPr>
            </w:pPr>
            <w:r>
              <w:rPr>
                <w:rFonts w:hint="eastAsia"/>
                <w:sz w:val="28"/>
                <w:szCs w:val="28"/>
              </w:rPr>
              <w:t>玉湖镇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66" w:type="dxa"/>
            <w:vAlign w:val="center"/>
          </w:tcPr>
          <w:p>
            <w:pPr>
              <w:spacing w:line="360" w:lineRule="exact"/>
              <w:ind w:firstLine="0" w:firstLineChars="0"/>
              <w:rPr>
                <w:sz w:val="28"/>
                <w:szCs w:val="28"/>
              </w:rPr>
            </w:pPr>
            <w:r>
              <w:rPr>
                <w:rFonts w:hint="eastAsia"/>
                <w:sz w:val="28"/>
                <w:szCs w:val="28"/>
              </w:rPr>
              <w:t>7</w:t>
            </w:r>
          </w:p>
        </w:tc>
        <w:tc>
          <w:tcPr>
            <w:tcW w:w="2235" w:type="dxa"/>
            <w:vAlign w:val="center"/>
          </w:tcPr>
          <w:p>
            <w:pPr>
              <w:spacing w:line="360" w:lineRule="exact"/>
              <w:ind w:firstLine="0" w:firstLineChars="0"/>
              <w:rPr>
                <w:sz w:val="28"/>
                <w:szCs w:val="28"/>
              </w:rPr>
            </w:pPr>
            <w:r>
              <w:rPr>
                <w:rFonts w:hint="eastAsia"/>
                <w:sz w:val="28"/>
                <w:szCs w:val="28"/>
              </w:rPr>
              <w:t>广东省塑胶及金属制品智能制造区域创新中心</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项目以揭阳市支柱产业塑胶、金属制品产业为突破口，在依托股东的支持下，联合高校，通过整合互补资源，引进高端创新团队和人才，针对行业智能制造升级痛点，开展技术研发、服务，成果转化推广等工作，建设中小企业公共服务平台。</w:t>
            </w:r>
          </w:p>
        </w:tc>
        <w:tc>
          <w:tcPr>
            <w:tcW w:w="870" w:type="dxa"/>
            <w:vAlign w:val="center"/>
          </w:tcPr>
          <w:p>
            <w:pPr>
              <w:spacing w:line="360" w:lineRule="exact"/>
              <w:ind w:firstLine="0" w:firstLineChars="0"/>
              <w:rPr>
                <w:sz w:val="24"/>
                <w:szCs w:val="24"/>
              </w:rPr>
            </w:pPr>
            <w:r>
              <w:rPr>
                <w:sz w:val="24"/>
                <w:szCs w:val="24"/>
              </w:rPr>
              <w:t>2021-2024</w:t>
            </w:r>
          </w:p>
        </w:tc>
        <w:tc>
          <w:tcPr>
            <w:tcW w:w="1127" w:type="dxa"/>
            <w:vAlign w:val="center"/>
          </w:tcPr>
          <w:p>
            <w:pPr>
              <w:spacing w:line="360" w:lineRule="exact"/>
              <w:ind w:firstLine="0" w:firstLineChars="0"/>
              <w:rPr>
                <w:sz w:val="24"/>
                <w:szCs w:val="24"/>
              </w:rPr>
            </w:pPr>
            <w:r>
              <w:rPr>
                <w:sz w:val="24"/>
                <w:szCs w:val="24"/>
              </w:rPr>
              <w:t>4000</w:t>
            </w:r>
          </w:p>
        </w:tc>
        <w:tc>
          <w:tcPr>
            <w:tcW w:w="993" w:type="dxa"/>
            <w:vAlign w:val="center"/>
          </w:tcPr>
          <w:p>
            <w:pPr>
              <w:spacing w:line="360" w:lineRule="exact"/>
              <w:ind w:firstLine="0" w:firstLineChars="0"/>
              <w:rPr>
                <w:sz w:val="24"/>
                <w:szCs w:val="24"/>
              </w:rPr>
            </w:pPr>
            <w:r>
              <w:rPr>
                <w:sz w:val="24"/>
                <w:szCs w:val="24"/>
              </w:rPr>
              <w:t>4000</w:t>
            </w:r>
          </w:p>
        </w:tc>
        <w:tc>
          <w:tcPr>
            <w:tcW w:w="1275" w:type="dxa"/>
            <w:vAlign w:val="center"/>
          </w:tcPr>
          <w:p>
            <w:pPr>
              <w:spacing w:line="360" w:lineRule="exact"/>
              <w:ind w:firstLine="0" w:firstLineChars="0"/>
              <w:rPr>
                <w:sz w:val="28"/>
                <w:szCs w:val="28"/>
              </w:rPr>
            </w:pPr>
            <w:r>
              <w:rPr>
                <w:rFonts w:hint="eastAsia"/>
                <w:sz w:val="28"/>
                <w:szCs w:val="28"/>
              </w:rPr>
              <w:t>中德金属生态城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566" w:type="dxa"/>
            <w:vAlign w:val="center"/>
          </w:tcPr>
          <w:p>
            <w:pPr>
              <w:spacing w:line="360" w:lineRule="exact"/>
              <w:ind w:firstLine="0" w:firstLineChars="0"/>
              <w:rPr>
                <w:sz w:val="28"/>
                <w:szCs w:val="28"/>
              </w:rPr>
            </w:pPr>
            <w:r>
              <w:rPr>
                <w:rFonts w:hint="eastAsia"/>
                <w:sz w:val="28"/>
                <w:szCs w:val="28"/>
              </w:rPr>
              <w:t>8</w:t>
            </w:r>
          </w:p>
        </w:tc>
        <w:tc>
          <w:tcPr>
            <w:tcW w:w="2235" w:type="dxa"/>
            <w:vAlign w:val="center"/>
          </w:tcPr>
          <w:p>
            <w:pPr>
              <w:spacing w:line="360" w:lineRule="exact"/>
              <w:ind w:firstLine="0" w:firstLineChars="0"/>
              <w:rPr>
                <w:sz w:val="28"/>
                <w:szCs w:val="28"/>
              </w:rPr>
            </w:pPr>
            <w:r>
              <w:rPr>
                <w:rFonts w:hint="eastAsia"/>
                <w:sz w:val="28"/>
                <w:szCs w:val="28"/>
              </w:rPr>
              <w:t>粤东茶健康产业科技示范园</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占地面积</w:t>
            </w:r>
            <w:r>
              <w:rPr>
                <w:sz w:val="28"/>
                <w:szCs w:val="28"/>
              </w:rPr>
              <w:t>141.9</w:t>
            </w:r>
            <w:r>
              <w:rPr>
                <w:rFonts w:hint="eastAsia"/>
                <w:sz w:val="28"/>
                <w:szCs w:val="28"/>
              </w:rPr>
              <w:t>万平方米，建设生产、管理及休闲旅游配套等建筑</w:t>
            </w:r>
            <w:r>
              <w:rPr>
                <w:sz w:val="28"/>
                <w:szCs w:val="28"/>
              </w:rPr>
              <w:t>13.5</w:t>
            </w:r>
            <w:r>
              <w:rPr>
                <w:rFonts w:hint="eastAsia"/>
                <w:sz w:val="28"/>
                <w:szCs w:val="28"/>
              </w:rPr>
              <w:t>万平方米。通过</w:t>
            </w:r>
            <w:r>
              <w:rPr>
                <w:sz w:val="28"/>
                <w:szCs w:val="28"/>
              </w:rPr>
              <w:t>“</w:t>
            </w:r>
            <w:r>
              <w:rPr>
                <w:rFonts w:hint="eastAsia"/>
                <w:sz w:val="28"/>
                <w:szCs w:val="28"/>
              </w:rPr>
              <w:t>一心、一环、三区</w:t>
            </w:r>
            <w:r>
              <w:rPr>
                <w:sz w:val="28"/>
                <w:szCs w:val="28"/>
              </w:rPr>
              <w:t>”</w:t>
            </w:r>
            <w:r>
              <w:rPr>
                <w:rFonts w:hint="eastAsia"/>
                <w:sz w:val="28"/>
                <w:szCs w:val="28"/>
              </w:rPr>
              <w:t>（综合管理服务中心、生态观光景观环、生态茶园区、茶文化风情区、养生度假区）功能区建设，打造集高品质茶叶生产、茶产业科技示范、茶主题休闲度假养生等功能于一体的茶健康产业科技示范园，带动当地传统的茶产业朝着高档化、生态化、产业融合化的方向发展。</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42000</w:t>
            </w:r>
          </w:p>
        </w:tc>
        <w:tc>
          <w:tcPr>
            <w:tcW w:w="993" w:type="dxa"/>
            <w:vAlign w:val="center"/>
          </w:tcPr>
          <w:p>
            <w:pPr>
              <w:spacing w:line="360" w:lineRule="exact"/>
              <w:ind w:firstLine="0" w:firstLineChars="0"/>
              <w:rPr>
                <w:sz w:val="24"/>
                <w:szCs w:val="24"/>
              </w:rPr>
            </w:pPr>
            <w:r>
              <w:rPr>
                <w:sz w:val="24"/>
                <w:szCs w:val="24"/>
              </w:rPr>
              <w:t>42000</w:t>
            </w:r>
          </w:p>
        </w:tc>
        <w:tc>
          <w:tcPr>
            <w:tcW w:w="1275" w:type="dxa"/>
            <w:vAlign w:val="center"/>
          </w:tcPr>
          <w:p>
            <w:pPr>
              <w:spacing w:line="360" w:lineRule="exact"/>
              <w:ind w:firstLine="0" w:firstLineChars="0"/>
              <w:rPr>
                <w:sz w:val="28"/>
                <w:szCs w:val="28"/>
              </w:rPr>
            </w:pPr>
            <w:r>
              <w:rPr>
                <w:rFonts w:hint="eastAsia"/>
                <w:sz w:val="28"/>
                <w:szCs w:val="28"/>
              </w:rPr>
              <w:t>玉湖镇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566" w:type="dxa"/>
            <w:vAlign w:val="center"/>
          </w:tcPr>
          <w:p>
            <w:pPr>
              <w:spacing w:line="360" w:lineRule="exact"/>
              <w:ind w:firstLine="0" w:firstLineChars="0"/>
              <w:rPr>
                <w:sz w:val="28"/>
                <w:szCs w:val="28"/>
              </w:rPr>
            </w:pPr>
            <w:r>
              <w:rPr>
                <w:rFonts w:hint="eastAsia"/>
                <w:sz w:val="28"/>
                <w:szCs w:val="28"/>
              </w:rPr>
              <w:t>9</w:t>
            </w:r>
          </w:p>
        </w:tc>
        <w:tc>
          <w:tcPr>
            <w:tcW w:w="2235" w:type="dxa"/>
            <w:vAlign w:val="center"/>
          </w:tcPr>
          <w:p>
            <w:pPr>
              <w:spacing w:line="360" w:lineRule="exact"/>
              <w:ind w:firstLine="0" w:firstLineChars="0"/>
              <w:rPr>
                <w:sz w:val="28"/>
                <w:szCs w:val="28"/>
              </w:rPr>
            </w:pPr>
            <w:r>
              <w:rPr>
                <w:rFonts w:hint="eastAsia"/>
                <w:sz w:val="28"/>
                <w:szCs w:val="28"/>
              </w:rPr>
              <w:t>揭阳市聚鲶工业科技项目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占地面积约1</w:t>
            </w:r>
            <w:r>
              <w:rPr>
                <w:sz w:val="28"/>
                <w:szCs w:val="28"/>
              </w:rPr>
              <w:t>1467</w:t>
            </w:r>
            <w:r>
              <w:rPr>
                <w:rFonts w:hint="eastAsia"/>
                <w:sz w:val="28"/>
                <w:szCs w:val="28"/>
              </w:rPr>
              <w:t>平方米，主要从事塑料日用品制造。</w:t>
            </w:r>
          </w:p>
        </w:tc>
        <w:tc>
          <w:tcPr>
            <w:tcW w:w="870" w:type="dxa"/>
            <w:vAlign w:val="center"/>
          </w:tcPr>
          <w:p>
            <w:pPr>
              <w:spacing w:line="360" w:lineRule="exact"/>
              <w:ind w:firstLine="0" w:firstLineChars="0"/>
              <w:rPr>
                <w:sz w:val="24"/>
                <w:szCs w:val="24"/>
              </w:rPr>
            </w:pPr>
            <w:r>
              <w:rPr>
                <w:sz w:val="24"/>
                <w:szCs w:val="24"/>
              </w:rPr>
              <w:t>2020-2025</w:t>
            </w:r>
          </w:p>
        </w:tc>
        <w:tc>
          <w:tcPr>
            <w:tcW w:w="1127" w:type="dxa"/>
            <w:vAlign w:val="center"/>
          </w:tcPr>
          <w:p>
            <w:pPr>
              <w:spacing w:line="360" w:lineRule="exact"/>
              <w:ind w:firstLine="0" w:firstLineChars="0"/>
              <w:rPr>
                <w:sz w:val="24"/>
                <w:szCs w:val="24"/>
              </w:rPr>
            </w:pPr>
            <w:r>
              <w:rPr>
                <w:sz w:val="24"/>
                <w:szCs w:val="24"/>
              </w:rPr>
              <w:t>2000</w:t>
            </w:r>
          </w:p>
        </w:tc>
        <w:tc>
          <w:tcPr>
            <w:tcW w:w="993" w:type="dxa"/>
            <w:vAlign w:val="center"/>
          </w:tcPr>
          <w:p>
            <w:pPr>
              <w:spacing w:line="360" w:lineRule="exact"/>
              <w:ind w:firstLine="0" w:firstLineChars="0"/>
              <w:rPr>
                <w:sz w:val="24"/>
                <w:szCs w:val="24"/>
              </w:rPr>
            </w:pPr>
            <w:r>
              <w:rPr>
                <w:sz w:val="24"/>
                <w:szCs w:val="24"/>
              </w:rPr>
              <w:t>1000</w:t>
            </w:r>
          </w:p>
        </w:tc>
        <w:tc>
          <w:tcPr>
            <w:tcW w:w="1275" w:type="dxa"/>
            <w:vAlign w:val="center"/>
          </w:tcPr>
          <w:p>
            <w:pPr>
              <w:spacing w:line="360" w:lineRule="exact"/>
              <w:ind w:firstLine="0" w:firstLineChars="0"/>
              <w:rPr>
                <w:sz w:val="28"/>
                <w:szCs w:val="28"/>
              </w:rPr>
            </w:pPr>
            <w:r>
              <w:rPr>
                <w:rFonts w:hint="eastAsia"/>
                <w:sz w:val="28"/>
                <w:szCs w:val="28"/>
              </w:rPr>
              <w:t>中德金属生态城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0</w:t>
            </w:r>
          </w:p>
        </w:tc>
        <w:tc>
          <w:tcPr>
            <w:tcW w:w="2235" w:type="dxa"/>
            <w:vAlign w:val="center"/>
          </w:tcPr>
          <w:p>
            <w:pPr>
              <w:spacing w:line="360" w:lineRule="exact"/>
              <w:ind w:firstLine="0" w:firstLineChars="0"/>
              <w:rPr>
                <w:sz w:val="28"/>
                <w:szCs w:val="28"/>
              </w:rPr>
            </w:pPr>
            <w:r>
              <w:rPr>
                <w:rFonts w:hint="eastAsia"/>
                <w:sz w:val="28"/>
                <w:szCs w:val="28"/>
              </w:rPr>
              <w:t>揭东区</w:t>
            </w:r>
            <w:r>
              <w:rPr>
                <w:sz w:val="28"/>
                <w:szCs w:val="28"/>
              </w:rPr>
              <w:t>5G</w:t>
            </w:r>
            <w:r>
              <w:rPr>
                <w:rFonts w:hint="eastAsia"/>
                <w:sz w:val="28"/>
                <w:szCs w:val="28"/>
              </w:rPr>
              <w:t>、</w:t>
            </w:r>
            <w:r>
              <w:rPr>
                <w:sz w:val="28"/>
                <w:szCs w:val="28"/>
              </w:rPr>
              <w:t>4G</w:t>
            </w:r>
            <w:r>
              <w:rPr>
                <w:rFonts w:hint="eastAsia"/>
                <w:sz w:val="28"/>
                <w:szCs w:val="28"/>
              </w:rPr>
              <w:t>基础网络建设及信号覆盖工程</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未来</w:t>
            </w:r>
            <w:r>
              <w:rPr>
                <w:sz w:val="28"/>
                <w:szCs w:val="28"/>
              </w:rPr>
              <w:t>5</w:t>
            </w:r>
            <w:r>
              <w:rPr>
                <w:rFonts w:hint="eastAsia"/>
                <w:sz w:val="28"/>
                <w:szCs w:val="28"/>
              </w:rPr>
              <w:t>年，</w:t>
            </w:r>
            <w:r>
              <w:rPr>
                <w:sz w:val="28"/>
                <w:szCs w:val="28"/>
              </w:rPr>
              <w:t>4G</w:t>
            </w:r>
            <w:r>
              <w:rPr>
                <w:rFonts w:hint="eastAsia"/>
                <w:sz w:val="28"/>
                <w:szCs w:val="28"/>
              </w:rPr>
              <w:t>将重点解决部分市区网络补强，并作为</w:t>
            </w:r>
            <w:r>
              <w:rPr>
                <w:sz w:val="28"/>
                <w:szCs w:val="28"/>
              </w:rPr>
              <w:t>5G</w:t>
            </w:r>
            <w:r>
              <w:rPr>
                <w:rFonts w:hint="eastAsia"/>
                <w:sz w:val="28"/>
                <w:szCs w:val="28"/>
              </w:rPr>
              <w:t>的语音承载层，计划投资</w:t>
            </w:r>
            <w:r>
              <w:rPr>
                <w:sz w:val="28"/>
                <w:szCs w:val="28"/>
              </w:rPr>
              <w:t>2000</w:t>
            </w:r>
            <w:r>
              <w:rPr>
                <w:rFonts w:hint="eastAsia"/>
                <w:sz w:val="28"/>
                <w:szCs w:val="28"/>
              </w:rPr>
              <w:t>万元，建设</w:t>
            </w:r>
            <w:r>
              <w:rPr>
                <w:sz w:val="28"/>
                <w:szCs w:val="28"/>
              </w:rPr>
              <w:t>200</w:t>
            </w:r>
            <w:r>
              <w:rPr>
                <w:rFonts w:hint="eastAsia"/>
                <w:sz w:val="28"/>
                <w:szCs w:val="28"/>
              </w:rPr>
              <w:t>个基站和室分，在未来的</w:t>
            </w:r>
            <w:r>
              <w:rPr>
                <w:sz w:val="28"/>
                <w:szCs w:val="28"/>
              </w:rPr>
              <w:t>5</w:t>
            </w:r>
            <w:r>
              <w:rPr>
                <w:rFonts w:hint="eastAsia"/>
                <w:sz w:val="28"/>
                <w:szCs w:val="28"/>
              </w:rPr>
              <w:t>年，将投入约</w:t>
            </w:r>
            <w:r>
              <w:rPr>
                <w:sz w:val="28"/>
                <w:szCs w:val="28"/>
              </w:rPr>
              <w:t>3.2</w:t>
            </w:r>
            <w:r>
              <w:rPr>
                <w:rFonts w:hint="eastAsia"/>
                <w:sz w:val="28"/>
                <w:szCs w:val="28"/>
              </w:rPr>
              <w:t>亿进行</w:t>
            </w:r>
            <w:r>
              <w:rPr>
                <w:sz w:val="28"/>
                <w:szCs w:val="28"/>
              </w:rPr>
              <w:t>5G</w:t>
            </w:r>
            <w:r>
              <w:rPr>
                <w:rFonts w:hint="eastAsia"/>
                <w:sz w:val="28"/>
                <w:szCs w:val="28"/>
              </w:rPr>
              <w:t>建设，预计建成约</w:t>
            </w:r>
            <w:r>
              <w:rPr>
                <w:sz w:val="28"/>
                <w:szCs w:val="28"/>
              </w:rPr>
              <w:t>2000</w:t>
            </w:r>
            <w:r>
              <w:rPr>
                <w:rFonts w:hint="eastAsia"/>
                <w:sz w:val="28"/>
                <w:szCs w:val="28"/>
              </w:rPr>
              <w:t>个基站和室分。实现揭东</w:t>
            </w:r>
            <w:r>
              <w:rPr>
                <w:sz w:val="28"/>
                <w:szCs w:val="28"/>
              </w:rPr>
              <w:t>5G</w:t>
            </w:r>
            <w:r>
              <w:rPr>
                <w:rFonts w:hint="eastAsia"/>
                <w:sz w:val="28"/>
                <w:szCs w:val="28"/>
              </w:rPr>
              <w:t>面覆盖率达到</w:t>
            </w:r>
            <w:r>
              <w:rPr>
                <w:sz w:val="28"/>
                <w:szCs w:val="28"/>
              </w:rPr>
              <w:t>98%</w:t>
            </w:r>
            <w:r>
              <w:rPr>
                <w:rFonts w:hint="eastAsia"/>
                <w:sz w:val="28"/>
                <w:szCs w:val="28"/>
              </w:rPr>
              <w:t>，人口覆盖率达到</w:t>
            </w:r>
            <w:r>
              <w:rPr>
                <w:sz w:val="28"/>
                <w:szCs w:val="28"/>
              </w:rPr>
              <w:t>95%</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34000</w:t>
            </w:r>
          </w:p>
        </w:tc>
        <w:tc>
          <w:tcPr>
            <w:tcW w:w="993" w:type="dxa"/>
            <w:vAlign w:val="center"/>
          </w:tcPr>
          <w:p>
            <w:pPr>
              <w:spacing w:line="360" w:lineRule="exact"/>
              <w:ind w:firstLine="0" w:firstLineChars="0"/>
              <w:rPr>
                <w:sz w:val="24"/>
                <w:szCs w:val="24"/>
              </w:rPr>
            </w:pPr>
            <w:r>
              <w:rPr>
                <w:sz w:val="24"/>
                <w:szCs w:val="24"/>
              </w:rPr>
              <w:t>34000</w:t>
            </w:r>
          </w:p>
        </w:tc>
        <w:tc>
          <w:tcPr>
            <w:tcW w:w="1275" w:type="dxa"/>
            <w:vAlign w:val="center"/>
          </w:tcPr>
          <w:p>
            <w:pPr>
              <w:spacing w:line="360" w:lineRule="exact"/>
              <w:ind w:firstLine="0" w:firstLineChars="0"/>
              <w:rPr>
                <w:sz w:val="28"/>
                <w:szCs w:val="28"/>
              </w:rPr>
            </w:pPr>
            <w:r>
              <w:rPr>
                <w:rFonts w:hint="eastAsia"/>
                <w:sz w:val="28"/>
                <w:szCs w:val="28"/>
              </w:rPr>
              <w:t>中国联通揭东分公司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1</w:t>
            </w:r>
          </w:p>
        </w:tc>
        <w:tc>
          <w:tcPr>
            <w:tcW w:w="2235" w:type="dxa"/>
            <w:vAlign w:val="center"/>
          </w:tcPr>
          <w:p>
            <w:pPr>
              <w:spacing w:line="360" w:lineRule="exact"/>
              <w:ind w:firstLine="0" w:firstLineChars="0"/>
              <w:rPr>
                <w:sz w:val="28"/>
                <w:szCs w:val="28"/>
              </w:rPr>
            </w:pPr>
            <w:r>
              <w:rPr>
                <w:rFonts w:hint="eastAsia"/>
                <w:sz w:val="28"/>
                <w:szCs w:val="28"/>
              </w:rPr>
              <w:t>揭东区曲溪街道庵前经联社片区旧厂房改造工程项目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片区有揭阳市永兴泰五金制品有限公司、揭阳市金宝来五金塑胶制品有限公司、揭阳市宏达不锈钢实业有限公司、雅迪高五金塑胶有限公司等</w:t>
            </w:r>
            <w:r>
              <w:rPr>
                <w:sz w:val="28"/>
                <w:szCs w:val="28"/>
              </w:rPr>
              <w:t>4</w:t>
            </w:r>
            <w:r>
              <w:rPr>
                <w:rFonts w:hint="eastAsia"/>
                <w:sz w:val="28"/>
                <w:szCs w:val="28"/>
              </w:rPr>
              <w:t>家企业，用地面积</w:t>
            </w:r>
            <w:r>
              <w:rPr>
                <w:sz w:val="28"/>
                <w:szCs w:val="28"/>
              </w:rPr>
              <w:t>126.24</w:t>
            </w:r>
            <w:r>
              <w:rPr>
                <w:rFonts w:hint="eastAsia"/>
                <w:sz w:val="28"/>
                <w:szCs w:val="28"/>
              </w:rPr>
              <w:t>亩，联合改造建设商业和住宅小区</w:t>
            </w:r>
          </w:p>
        </w:tc>
        <w:tc>
          <w:tcPr>
            <w:tcW w:w="870" w:type="dxa"/>
            <w:vAlign w:val="center"/>
          </w:tcPr>
          <w:p>
            <w:pPr>
              <w:spacing w:line="360" w:lineRule="exact"/>
              <w:ind w:firstLine="0" w:firstLineChars="0"/>
              <w:rPr>
                <w:sz w:val="24"/>
                <w:szCs w:val="24"/>
              </w:rPr>
            </w:pPr>
            <w:r>
              <w:rPr>
                <w:sz w:val="24"/>
                <w:szCs w:val="24"/>
              </w:rPr>
              <w:t>2020-2023</w:t>
            </w:r>
          </w:p>
        </w:tc>
        <w:tc>
          <w:tcPr>
            <w:tcW w:w="1127" w:type="dxa"/>
            <w:vAlign w:val="center"/>
          </w:tcPr>
          <w:p>
            <w:pPr>
              <w:spacing w:line="360" w:lineRule="exact"/>
              <w:ind w:firstLine="0" w:firstLineChars="0"/>
              <w:rPr>
                <w:sz w:val="24"/>
                <w:szCs w:val="24"/>
              </w:rPr>
            </w:pPr>
            <w:r>
              <w:rPr>
                <w:sz w:val="24"/>
                <w:szCs w:val="24"/>
              </w:rPr>
              <w:t>100000</w:t>
            </w:r>
          </w:p>
        </w:tc>
        <w:tc>
          <w:tcPr>
            <w:tcW w:w="993" w:type="dxa"/>
            <w:vAlign w:val="center"/>
          </w:tcPr>
          <w:p>
            <w:pPr>
              <w:spacing w:line="360" w:lineRule="exact"/>
              <w:ind w:firstLine="0" w:firstLineChars="0"/>
              <w:rPr>
                <w:sz w:val="24"/>
                <w:szCs w:val="24"/>
              </w:rPr>
            </w:pPr>
            <w:r>
              <w:rPr>
                <w:sz w:val="24"/>
                <w:szCs w:val="24"/>
              </w:rPr>
              <w:t>90000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2</w:t>
            </w:r>
          </w:p>
        </w:tc>
        <w:tc>
          <w:tcPr>
            <w:tcW w:w="2235" w:type="dxa"/>
            <w:vAlign w:val="center"/>
          </w:tcPr>
          <w:p>
            <w:pPr>
              <w:spacing w:line="360" w:lineRule="exact"/>
              <w:ind w:firstLine="0" w:firstLineChars="0"/>
              <w:rPr>
                <w:sz w:val="28"/>
                <w:szCs w:val="28"/>
              </w:rPr>
            </w:pPr>
            <w:r>
              <w:rPr>
                <w:rFonts w:hint="eastAsia"/>
                <w:sz w:val="28"/>
                <w:szCs w:val="28"/>
              </w:rPr>
              <w:t>缶灶码头片区</w:t>
            </w:r>
            <w:r>
              <w:rPr>
                <w:sz w:val="28"/>
                <w:szCs w:val="28"/>
              </w:rPr>
              <w:t>“</w:t>
            </w:r>
            <w:r>
              <w:rPr>
                <w:rFonts w:hint="eastAsia"/>
                <w:sz w:val="28"/>
                <w:szCs w:val="28"/>
              </w:rPr>
              <w:t>三旧</w:t>
            </w:r>
            <w:r>
              <w:rPr>
                <w:sz w:val="28"/>
                <w:szCs w:val="28"/>
              </w:rPr>
              <w:t>”</w:t>
            </w:r>
            <w:r>
              <w:rPr>
                <w:rFonts w:hint="eastAsia"/>
                <w:sz w:val="28"/>
                <w:szCs w:val="28"/>
              </w:rPr>
              <w:t>改造工程</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总用地面积约</w:t>
            </w:r>
            <w:r>
              <w:rPr>
                <w:sz w:val="28"/>
                <w:szCs w:val="28"/>
              </w:rPr>
              <w:t>38.8</w:t>
            </w:r>
            <w:r>
              <w:rPr>
                <w:rFonts w:hint="eastAsia"/>
                <w:sz w:val="28"/>
                <w:szCs w:val="28"/>
              </w:rPr>
              <w:t>亩，建设</w:t>
            </w:r>
            <w:r>
              <w:rPr>
                <w:sz w:val="28"/>
                <w:szCs w:val="28"/>
              </w:rPr>
              <w:t>18</w:t>
            </w:r>
            <w:r>
              <w:rPr>
                <w:rFonts w:hint="eastAsia"/>
                <w:sz w:val="28"/>
                <w:szCs w:val="28"/>
              </w:rPr>
              <w:t>栋商住楼。</w:t>
            </w:r>
          </w:p>
        </w:tc>
        <w:tc>
          <w:tcPr>
            <w:tcW w:w="870" w:type="dxa"/>
            <w:vAlign w:val="center"/>
          </w:tcPr>
          <w:p>
            <w:pPr>
              <w:spacing w:line="360" w:lineRule="exact"/>
              <w:ind w:firstLine="0" w:firstLineChars="0"/>
              <w:rPr>
                <w:sz w:val="24"/>
                <w:szCs w:val="24"/>
              </w:rPr>
            </w:pPr>
            <w:r>
              <w:rPr>
                <w:sz w:val="24"/>
                <w:szCs w:val="24"/>
              </w:rPr>
              <w:t>2021-2022</w:t>
            </w:r>
          </w:p>
        </w:tc>
        <w:tc>
          <w:tcPr>
            <w:tcW w:w="1127" w:type="dxa"/>
            <w:vAlign w:val="center"/>
          </w:tcPr>
          <w:p>
            <w:pPr>
              <w:spacing w:line="360" w:lineRule="exact"/>
              <w:ind w:firstLine="0" w:firstLineChars="0"/>
              <w:rPr>
                <w:sz w:val="24"/>
                <w:szCs w:val="24"/>
              </w:rPr>
            </w:pPr>
            <w:r>
              <w:rPr>
                <w:sz w:val="24"/>
                <w:szCs w:val="24"/>
              </w:rPr>
              <w:t>60000</w:t>
            </w:r>
          </w:p>
        </w:tc>
        <w:tc>
          <w:tcPr>
            <w:tcW w:w="993" w:type="dxa"/>
            <w:vAlign w:val="center"/>
          </w:tcPr>
          <w:p>
            <w:pPr>
              <w:spacing w:line="360" w:lineRule="exact"/>
              <w:ind w:firstLine="0" w:firstLineChars="0"/>
              <w:rPr>
                <w:sz w:val="24"/>
                <w:szCs w:val="24"/>
              </w:rPr>
            </w:pPr>
            <w:r>
              <w:rPr>
                <w:sz w:val="24"/>
                <w:szCs w:val="24"/>
              </w:rPr>
              <w:t>60000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3</w:t>
            </w:r>
          </w:p>
        </w:tc>
        <w:tc>
          <w:tcPr>
            <w:tcW w:w="2235" w:type="dxa"/>
            <w:vAlign w:val="center"/>
          </w:tcPr>
          <w:p>
            <w:pPr>
              <w:spacing w:line="360" w:lineRule="exact"/>
              <w:ind w:firstLine="0" w:firstLineChars="0"/>
              <w:rPr>
                <w:sz w:val="28"/>
                <w:szCs w:val="28"/>
              </w:rPr>
            </w:pPr>
            <w:r>
              <w:rPr>
                <w:rFonts w:hint="eastAsia"/>
                <w:sz w:val="28"/>
                <w:szCs w:val="28"/>
              </w:rPr>
              <w:t>霖磐镇老旧镇区改造提升工程</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pacing w:val="-6"/>
                <w:sz w:val="28"/>
                <w:szCs w:val="28"/>
              </w:rPr>
            </w:pPr>
            <w:r>
              <w:rPr>
                <w:spacing w:val="-6"/>
                <w:sz w:val="28"/>
                <w:szCs w:val="28"/>
              </w:rPr>
              <w:t>1</w:t>
            </w:r>
            <w:r>
              <w:rPr>
                <w:rFonts w:hint="eastAsia"/>
                <w:spacing w:val="-6"/>
                <w:sz w:val="28"/>
                <w:szCs w:val="28"/>
              </w:rPr>
              <w:t>、道路改造升级工程。对西凤路、东桂路等</w:t>
            </w:r>
            <w:r>
              <w:rPr>
                <w:spacing w:val="-6"/>
                <w:sz w:val="28"/>
                <w:szCs w:val="28"/>
              </w:rPr>
              <w:t>8</w:t>
            </w:r>
            <w:r>
              <w:rPr>
                <w:rFonts w:hint="eastAsia"/>
                <w:spacing w:val="-6"/>
                <w:sz w:val="28"/>
                <w:szCs w:val="28"/>
              </w:rPr>
              <w:t>条道路</w:t>
            </w:r>
            <w:r>
              <w:rPr>
                <w:spacing w:val="-6"/>
                <w:sz w:val="28"/>
                <w:szCs w:val="28"/>
              </w:rPr>
              <w:t>7.6</w:t>
            </w:r>
            <w:r>
              <w:rPr>
                <w:rFonts w:hint="eastAsia"/>
                <w:spacing w:val="-6"/>
                <w:sz w:val="28"/>
                <w:szCs w:val="28"/>
              </w:rPr>
              <w:t>公里进行改造升级，铺设排污排水、沥青路面、人行道等，进行亮化、绿化和美化。</w:t>
            </w:r>
            <w:r>
              <w:rPr>
                <w:spacing w:val="-6"/>
                <w:sz w:val="28"/>
                <w:szCs w:val="28"/>
              </w:rPr>
              <w:t>2</w:t>
            </w:r>
            <w:r>
              <w:rPr>
                <w:rFonts w:hint="eastAsia"/>
                <w:spacing w:val="-6"/>
                <w:sz w:val="28"/>
                <w:szCs w:val="28"/>
              </w:rPr>
              <w:t>、镇区污水管网建设工程。铺设管网</w:t>
            </w:r>
            <w:r>
              <w:rPr>
                <w:spacing w:val="-6"/>
                <w:sz w:val="28"/>
                <w:szCs w:val="28"/>
              </w:rPr>
              <w:t>16.86</w:t>
            </w:r>
            <w:r>
              <w:rPr>
                <w:rFonts w:hint="eastAsia"/>
                <w:spacing w:val="-6"/>
                <w:sz w:val="28"/>
                <w:szCs w:val="28"/>
              </w:rPr>
              <w:t>公里，服务镇区人口约</w:t>
            </w:r>
            <w:r>
              <w:rPr>
                <w:spacing w:val="-6"/>
                <w:sz w:val="28"/>
                <w:szCs w:val="28"/>
              </w:rPr>
              <w:t>2</w:t>
            </w:r>
            <w:r>
              <w:rPr>
                <w:rFonts w:hint="eastAsia"/>
                <w:spacing w:val="-6"/>
                <w:sz w:val="28"/>
                <w:szCs w:val="28"/>
              </w:rPr>
              <w:t>万人。</w:t>
            </w:r>
            <w:r>
              <w:rPr>
                <w:spacing w:val="-6"/>
                <w:sz w:val="28"/>
                <w:szCs w:val="28"/>
              </w:rPr>
              <w:t>3</w:t>
            </w:r>
            <w:r>
              <w:rPr>
                <w:rFonts w:hint="eastAsia"/>
                <w:spacing w:val="-6"/>
                <w:sz w:val="28"/>
                <w:szCs w:val="28"/>
              </w:rPr>
              <w:t>、镇区旧房风貌提升及中心市场升级改造工程。外墙面统一美化及亮化、统一装饰特色窗花及飘板、配置标识系统及商业店面广告牌、巷道特色铺装。</w:t>
            </w:r>
            <w:r>
              <w:rPr>
                <w:spacing w:val="-6"/>
                <w:sz w:val="28"/>
                <w:szCs w:val="28"/>
              </w:rPr>
              <w:t>4</w:t>
            </w:r>
            <w:r>
              <w:rPr>
                <w:rFonts w:hint="eastAsia"/>
                <w:spacing w:val="-6"/>
                <w:sz w:val="28"/>
                <w:szCs w:val="28"/>
              </w:rPr>
              <w:t>、南塘山生态公园。建设休闲观光绿道、健身登山步道、儿童乐园、老人活动广场、公厕等配套设施。</w:t>
            </w:r>
            <w:r>
              <w:rPr>
                <w:spacing w:val="-6"/>
                <w:sz w:val="28"/>
                <w:szCs w:val="28"/>
              </w:rPr>
              <w:t>5</w:t>
            </w:r>
            <w:r>
              <w:rPr>
                <w:rFonts w:hint="eastAsia"/>
                <w:spacing w:val="-6"/>
                <w:sz w:val="28"/>
                <w:szCs w:val="28"/>
              </w:rPr>
              <w:t>、配套建设垃圾转运站工程、综合服务中心、停车场、文化广场等。</w:t>
            </w:r>
            <w:r>
              <w:rPr>
                <w:spacing w:val="-6"/>
                <w:sz w:val="28"/>
                <w:szCs w:val="28"/>
              </w:rPr>
              <w:t>6</w:t>
            </w:r>
            <w:r>
              <w:rPr>
                <w:rFonts w:hint="eastAsia"/>
                <w:spacing w:val="-6"/>
                <w:sz w:val="28"/>
                <w:szCs w:val="28"/>
              </w:rPr>
              <w:t>、打造现代物流片区、电子商务片区、展贸交易片区、特色生产片区、高端居住片区。</w:t>
            </w:r>
          </w:p>
        </w:tc>
        <w:tc>
          <w:tcPr>
            <w:tcW w:w="870" w:type="dxa"/>
            <w:vAlign w:val="center"/>
          </w:tcPr>
          <w:p>
            <w:pPr>
              <w:spacing w:line="360" w:lineRule="exact"/>
              <w:ind w:firstLine="0" w:firstLineChars="0"/>
              <w:rPr>
                <w:sz w:val="24"/>
                <w:szCs w:val="24"/>
              </w:rPr>
            </w:pPr>
            <w:r>
              <w:rPr>
                <w:sz w:val="24"/>
                <w:szCs w:val="24"/>
              </w:rPr>
              <w:t>2021-2030</w:t>
            </w:r>
          </w:p>
        </w:tc>
        <w:tc>
          <w:tcPr>
            <w:tcW w:w="1127" w:type="dxa"/>
            <w:vAlign w:val="center"/>
          </w:tcPr>
          <w:p>
            <w:pPr>
              <w:spacing w:line="360" w:lineRule="exact"/>
              <w:ind w:firstLine="0" w:firstLineChars="0"/>
              <w:rPr>
                <w:sz w:val="24"/>
                <w:szCs w:val="24"/>
              </w:rPr>
            </w:pPr>
            <w:r>
              <w:rPr>
                <w:sz w:val="24"/>
                <w:szCs w:val="24"/>
              </w:rPr>
              <w:t>200000</w:t>
            </w:r>
          </w:p>
        </w:tc>
        <w:tc>
          <w:tcPr>
            <w:tcW w:w="993" w:type="dxa"/>
            <w:vAlign w:val="center"/>
          </w:tcPr>
          <w:p>
            <w:pPr>
              <w:spacing w:line="360" w:lineRule="exact"/>
              <w:ind w:firstLine="0" w:firstLineChars="0"/>
              <w:rPr>
                <w:sz w:val="24"/>
                <w:szCs w:val="24"/>
              </w:rPr>
            </w:pPr>
            <w:r>
              <w:rPr>
                <w:sz w:val="24"/>
                <w:szCs w:val="24"/>
              </w:rPr>
              <w:t>40000</w:t>
            </w:r>
          </w:p>
        </w:tc>
        <w:tc>
          <w:tcPr>
            <w:tcW w:w="1275" w:type="dxa"/>
            <w:vAlign w:val="center"/>
          </w:tcPr>
          <w:p>
            <w:pPr>
              <w:spacing w:line="360" w:lineRule="exact"/>
              <w:ind w:firstLine="0" w:firstLineChars="0"/>
              <w:rPr>
                <w:sz w:val="28"/>
                <w:szCs w:val="28"/>
              </w:rPr>
            </w:pPr>
            <w:r>
              <w:rPr>
                <w:rFonts w:hint="eastAsia"/>
                <w:sz w:val="28"/>
                <w:szCs w:val="28"/>
              </w:rPr>
              <w:t>霖磐镇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4</w:t>
            </w:r>
          </w:p>
        </w:tc>
        <w:tc>
          <w:tcPr>
            <w:tcW w:w="2235" w:type="dxa"/>
            <w:vAlign w:val="center"/>
          </w:tcPr>
          <w:p>
            <w:pPr>
              <w:spacing w:line="360" w:lineRule="exact"/>
              <w:ind w:firstLine="0" w:firstLineChars="0"/>
              <w:rPr>
                <w:sz w:val="28"/>
                <w:szCs w:val="28"/>
              </w:rPr>
            </w:pPr>
            <w:r>
              <w:rPr>
                <w:rFonts w:hint="eastAsia"/>
                <w:sz w:val="28"/>
                <w:szCs w:val="28"/>
              </w:rPr>
              <w:t>玉滘镇桥头新村建设项目（一期）</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40" w:lineRule="exact"/>
              <w:ind w:firstLine="0" w:firstLineChars="0"/>
              <w:rPr>
                <w:sz w:val="28"/>
                <w:szCs w:val="28"/>
              </w:rPr>
            </w:pPr>
            <w:r>
              <w:rPr>
                <w:rFonts w:hint="eastAsia"/>
                <w:sz w:val="28"/>
                <w:szCs w:val="28"/>
              </w:rPr>
              <w:t>总体规划占地面积</w:t>
            </w:r>
            <w:r>
              <w:rPr>
                <w:sz w:val="28"/>
                <w:szCs w:val="28"/>
              </w:rPr>
              <w:t>171</w:t>
            </w:r>
            <w:r>
              <w:rPr>
                <w:rFonts w:hint="eastAsia"/>
                <w:sz w:val="28"/>
                <w:szCs w:val="28"/>
              </w:rPr>
              <w:t>亩，分二期实施。一期计划建设综合市场、公园、部分小区及完善基础设施，占地面积约</w:t>
            </w:r>
            <w:r>
              <w:rPr>
                <w:sz w:val="28"/>
                <w:szCs w:val="28"/>
              </w:rPr>
              <w:t>130</w:t>
            </w:r>
            <w:r>
              <w:rPr>
                <w:rFonts w:hint="eastAsia"/>
                <w:sz w:val="28"/>
                <w:szCs w:val="28"/>
              </w:rPr>
              <w:t>亩。</w:t>
            </w:r>
          </w:p>
        </w:tc>
        <w:tc>
          <w:tcPr>
            <w:tcW w:w="870" w:type="dxa"/>
            <w:vAlign w:val="center"/>
          </w:tcPr>
          <w:p>
            <w:pPr>
              <w:spacing w:line="360" w:lineRule="exact"/>
              <w:ind w:firstLine="0" w:firstLineChars="0"/>
              <w:rPr>
                <w:sz w:val="24"/>
                <w:szCs w:val="24"/>
              </w:rPr>
            </w:pPr>
            <w:r>
              <w:rPr>
                <w:sz w:val="24"/>
                <w:szCs w:val="24"/>
              </w:rPr>
              <w:t>2019-2022</w:t>
            </w:r>
          </w:p>
        </w:tc>
        <w:tc>
          <w:tcPr>
            <w:tcW w:w="1127" w:type="dxa"/>
            <w:vAlign w:val="center"/>
          </w:tcPr>
          <w:p>
            <w:pPr>
              <w:spacing w:line="360" w:lineRule="exact"/>
              <w:ind w:firstLine="0" w:firstLineChars="0"/>
              <w:rPr>
                <w:sz w:val="24"/>
                <w:szCs w:val="24"/>
              </w:rPr>
            </w:pPr>
            <w:r>
              <w:rPr>
                <w:sz w:val="24"/>
                <w:szCs w:val="24"/>
              </w:rPr>
              <w:t>26000</w:t>
            </w:r>
          </w:p>
        </w:tc>
        <w:tc>
          <w:tcPr>
            <w:tcW w:w="993" w:type="dxa"/>
            <w:vAlign w:val="center"/>
          </w:tcPr>
          <w:p>
            <w:pPr>
              <w:spacing w:line="360" w:lineRule="exact"/>
              <w:ind w:firstLine="0" w:firstLineChars="0"/>
              <w:rPr>
                <w:sz w:val="24"/>
                <w:szCs w:val="24"/>
              </w:rPr>
            </w:pPr>
            <w:r>
              <w:rPr>
                <w:sz w:val="24"/>
                <w:szCs w:val="24"/>
              </w:rPr>
              <w:t>11000</w:t>
            </w:r>
          </w:p>
        </w:tc>
        <w:tc>
          <w:tcPr>
            <w:tcW w:w="1275" w:type="dxa"/>
            <w:vAlign w:val="center"/>
          </w:tcPr>
          <w:p>
            <w:pPr>
              <w:spacing w:line="360" w:lineRule="exact"/>
              <w:ind w:firstLine="0" w:firstLineChars="0"/>
              <w:rPr>
                <w:sz w:val="28"/>
                <w:szCs w:val="28"/>
              </w:rPr>
            </w:pPr>
            <w:r>
              <w:rPr>
                <w:rFonts w:hint="eastAsia"/>
                <w:sz w:val="28"/>
                <w:szCs w:val="28"/>
              </w:rPr>
              <w:t>玉滘镇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5</w:t>
            </w:r>
          </w:p>
        </w:tc>
        <w:tc>
          <w:tcPr>
            <w:tcW w:w="2235" w:type="dxa"/>
            <w:vAlign w:val="center"/>
          </w:tcPr>
          <w:p>
            <w:pPr>
              <w:spacing w:line="360" w:lineRule="exact"/>
              <w:ind w:firstLine="0" w:firstLineChars="0"/>
              <w:rPr>
                <w:sz w:val="28"/>
                <w:szCs w:val="28"/>
              </w:rPr>
            </w:pPr>
            <w:r>
              <w:rPr>
                <w:rFonts w:hint="eastAsia"/>
                <w:sz w:val="28"/>
                <w:szCs w:val="28"/>
              </w:rPr>
              <w:t>揭东区理想新城</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总用地面积为</w:t>
            </w:r>
            <w:r>
              <w:rPr>
                <w:sz w:val="28"/>
                <w:szCs w:val="28"/>
              </w:rPr>
              <w:t>27588</w:t>
            </w:r>
            <w:r>
              <w:rPr>
                <w:rFonts w:hint="eastAsia"/>
                <w:sz w:val="28"/>
                <w:szCs w:val="28"/>
              </w:rPr>
              <w:t>平方米，总建筑面积</w:t>
            </w:r>
            <w:r>
              <w:rPr>
                <w:sz w:val="28"/>
                <w:szCs w:val="28"/>
              </w:rPr>
              <w:t>116390</w:t>
            </w:r>
            <w:r>
              <w:rPr>
                <w:rFonts w:hint="eastAsia"/>
                <w:sz w:val="28"/>
                <w:szCs w:val="28"/>
              </w:rPr>
              <w:t>平方米。其中，住宅区面积</w:t>
            </w:r>
            <w:r>
              <w:rPr>
                <w:sz w:val="28"/>
                <w:szCs w:val="28"/>
              </w:rPr>
              <w:t>87145</w:t>
            </w:r>
            <w:r>
              <w:rPr>
                <w:rFonts w:hint="eastAsia"/>
                <w:sz w:val="28"/>
                <w:szCs w:val="28"/>
              </w:rPr>
              <w:t>平方米，商业面积约</w:t>
            </w:r>
            <w:r>
              <w:rPr>
                <w:sz w:val="28"/>
                <w:szCs w:val="28"/>
              </w:rPr>
              <w:t>9396</w:t>
            </w:r>
            <w:r>
              <w:rPr>
                <w:rFonts w:hint="eastAsia"/>
                <w:sz w:val="28"/>
                <w:szCs w:val="28"/>
              </w:rPr>
              <w:t>平方米，配套区面积</w:t>
            </w:r>
            <w:r>
              <w:rPr>
                <w:sz w:val="28"/>
                <w:szCs w:val="28"/>
              </w:rPr>
              <w:t>19849</w:t>
            </w:r>
            <w:r>
              <w:rPr>
                <w:rFonts w:hint="eastAsia"/>
                <w:sz w:val="28"/>
                <w:szCs w:val="28"/>
              </w:rPr>
              <w:t>平方米</w:t>
            </w:r>
          </w:p>
        </w:tc>
        <w:tc>
          <w:tcPr>
            <w:tcW w:w="870" w:type="dxa"/>
            <w:vAlign w:val="center"/>
          </w:tcPr>
          <w:p>
            <w:pPr>
              <w:spacing w:line="360" w:lineRule="exact"/>
              <w:ind w:firstLine="0" w:firstLineChars="0"/>
              <w:rPr>
                <w:sz w:val="24"/>
                <w:szCs w:val="24"/>
              </w:rPr>
            </w:pPr>
            <w:r>
              <w:rPr>
                <w:sz w:val="24"/>
                <w:szCs w:val="24"/>
              </w:rPr>
              <w:t>2018-2022</w:t>
            </w:r>
          </w:p>
        </w:tc>
        <w:tc>
          <w:tcPr>
            <w:tcW w:w="1127" w:type="dxa"/>
            <w:vAlign w:val="center"/>
          </w:tcPr>
          <w:p>
            <w:pPr>
              <w:spacing w:line="360" w:lineRule="exact"/>
              <w:ind w:firstLine="0" w:firstLineChars="0"/>
              <w:rPr>
                <w:sz w:val="24"/>
                <w:szCs w:val="24"/>
              </w:rPr>
            </w:pPr>
            <w:r>
              <w:rPr>
                <w:sz w:val="24"/>
                <w:szCs w:val="24"/>
              </w:rPr>
              <w:t>41320</w:t>
            </w:r>
          </w:p>
        </w:tc>
        <w:tc>
          <w:tcPr>
            <w:tcW w:w="993" w:type="dxa"/>
            <w:vAlign w:val="center"/>
          </w:tcPr>
          <w:p>
            <w:pPr>
              <w:spacing w:line="360" w:lineRule="exact"/>
              <w:ind w:firstLine="0" w:firstLineChars="0"/>
              <w:rPr>
                <w:sz w:val="24"/>
                <w:szCs w:val="24"/>
              </w:rPr>
            </w:pPr>
            <w:r>
              <w:rPr>
                <w:sz w:val="24"/>
                <w:szCs w:val="24"/>
              </w:rPr>
              <w:t>26320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6</w:t>
            </w:r>
          </w:p>
        </w:tc>
        <w:tc>
          <w:tcPr>
            <w:tcW w:w="2235" w:type="dxa"/>
            <w:vAlign w:val="center"/>
          </w:tcPr>
          <w:p>
            <w:pPr>
              <w:spacing w:line="360" w:lineRule="exact"/>
              <w:ind w:firstLine="0" w:firstLineChars="0"/>
              <w:rPr>
                <w:sz w:val="28"/>
                <w:szCs w:val="28"/>
              </w:rPr>
            </w:pPr>
            <w:r>
              <w:rPr>
                <w:rFonts w:hint="eastAsia"/>
                <w:sz w:val="28"/>
                <w:szCs w:val="28"/>
              </w:rPr>
              <w:t>揭东区汇润</w:t>
            </w:r>
            <w:r>
              <w:rPr>
                <w:sz w:val="28"/>
                <w:szCs w:val="28"/>
              </w:rPr>
              <w:t>·</w:t>
            </w:r>
            <w:r>
              <w:rPr>
                <w:rFonts w:hint="eastAsia"/>
                <w:sz w:val="28"/>
                <w:szCs w:val="28"/>
              </w:rPr>
              <w:t>熙岸尚庭</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占地面积</w:t>
            </w:r>
            <w:r>
              <w:rPr>
                <w:sz w:val="28"/>
                <w:szCs w:val="28"/>
              </w:rPr>
              <w:t>45261.6</w:t>
            </w:r>
            <w:r>
              <w:rPr>
                <w:rFonts w:hint="eastAsia"/>
                <w:sz w:val="28"/>
                <w:szCs w:val="28"/>
              </w:rPr>
              <w:t>平方米，总建筑面积</w:t>
            </w:r>
            <w:r>
              <w:rPr>
                <w:sz w:val="28"/>
                <w:szCs w:val="28"/>
              </w:rPr>
              <w:t>285793.47</w:t>
            </w:r>
            <w:r>
              <w:rPr>
                <w:rFonts w:hint="eastAsia"/>
                <w:sz w:val="28"/>
                <w:szCs w:val="28"/>
              </w:rPr>
              <w:t>平方米</w:t>
            </w:r>
          </w:p>
        </w:tc>
        <w:tc>
          <w:tcPr>
            <w:tcW w:w="870" w:type="dxa"/>
            <w:vAlign w:val="center"/>
          </w:tcPr>
          <w:p>
            <w:pPr>
              <w:spacing w:line="360" w:lineRule="exact"/>
              <w:ind w:firstLine="0" w:firstLineChars="0"/>
              <w:rPr>
                <w:sz w:val="24"/>
                <w:szCs w:val="24"/>
              </w:rPr>
            </w:pPr>
            <w:r>
              <w:rPr>
                <w:sz w:val="24"/>
                <w:szCs w:val="24"/>
              </w:rPr>
              <w:t>2019-2021</w:t>
            </w:r>
          </w:p>
        </w:tc>
        <w:tc>
          <w:tcPr>
            <w:tcW w:w="1127" w:type="dxa"/>
            <w:vAlign w:val="center"/>
          </w:tcPr>
          <w:p>
            <w:pPr>
              <w:spacing w:line="360" w:lineRule="exact"/>
              <w:ind w:firstLine="0" w:firstLineChars="0"/>
              <w:rPr>
                <w:sz w:val="24"/>
                <w:szCs w:val="24"/>
              </w:rPr>
            </w:pPr>
            <w:r>
              <w:rPr>
                <w:sz w:val="24"/>
                <w:szCs w:val="24"/>
              </w:rPr>
              <w:t>75000</w:t>
            </w:r>
          </w:p>
        </w:tc>
        <w:tc>
          <w:tcPr>
            <w:tcW w:w="993" w:type="dxa"/>
            <w:vAlign w:val="center"/>
          </w:tcPr>
          <w:p>
            <w:pPr>
              <w:spacing w:line="360" w:lineRule="exact"/>
              <w:ind w:firstLine="0" w:firstLineChars="0"/>
              <w:rPr>
                <w:sz w:val="24"/>
                <w:szCs w:val="24"/>
              </w:rPr>
            </w:pPr>
            <w:r>
              <w:rPr>
                <w:sz w:val="24"/>
                <w:szCs w:val="24"/>
              </w:rPr>
              <w:t>15000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7</w:t>
            </w:r>
          </w:p>
        </w:tc>
        <w:tc>
          <w:tcPr>
            <w:tcW w:w="2235" w:type="dxa"/>
            <w:vAlign w:val="center"/>
          </w:tcPr>
          <w:p>
            <w:pPr>
              <w:spacing w:line="360" w:lineRule="exact"/>
              <w:ind w:firstLine="0" w:firstLineChars="0"/>
              <w:rPr>
                <w:sz w:val="28"/>
                <w:szCs w:val="28"/>
              </w:rPr>
            </w:pPr>
            <w:r>
              <w:rPr>
                <w:rFonts w:hint="eastAsia"/>
                <w:sz w:val="28"/>
                <w:szCs w:val="28"/>
              </w:rPr>
              <w:t>揭东区中南</w:t>
            </w:r>
            <w:r>
              <w:rPr>
                <w:sz w:val="28"/>
                <w:szCs w:val="28"/>
              </w:rPr>
              <w:t>·</w:t>
            </w:r>
            <w:r>
              <w:rPr>
                <w:rFonts w:hint="eastAsia"/>
                <w:sz w:val="28"/>
                <w:szCs w:val="28"/>
              </w:rPr>
              <w:t>春风南岸</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占地面积</w:t>
            </w:r>
            <w:r>
              <w:rPr>
                <w:sz w:val="28"/>
                <w:szCs w:val="28"/>
              </w:rPr>
              <w:t>94393.22</w:t>
            </w:r>
            <w:r>
              <w:rPr>
                <w:rFonts w:hint="eastAsia"/>
                <w:sz w:val="28"/>
                <w:szCs w:val="28"/>
              </w:rPr>
              <w:t>平方米，总建筑面积</w:t>
            </w:r>
            <w:r>
              <w:rPr>
                <w:sz w:val="28"/>
                <w:szCs w:val="28"/>
              </w:rPr>
              <w:t>250370.34</w:t>
            </w:r>
            <w:r>
              <w:rPr>
                <w:rFonts w:hint="eastAsia"/>
                <w:sz w:val="28"/>
                <w:szCs w:val="28"/>
              </w:rPr>
              <w:t>平方米，总共</w:t>
            </w:r>
            <w:r>
              <w:rPr>
                <w:sz w:val="28"/>
                <w:szCs w:val="28"/>
              </w:rPr>
              <w:t>23</w:t>
            </w:r>
            <w:r>
              <w:rPr>
                <w:rFonts w:hint="eastAsia"/>
                <w:sz w:val="28"/>
                <w:szCs w:val="28"/>
              </w:rPr>
              <w:t>栋</w:t>
            </w:r>
            <w:r>
              <w:rPr>
                <w:sz w:val="28"/>
                <w:szCs w:val="28"/>
              </w:rPr>
              <w:t>3-25</w:t>
            </w:r>
            <w:r>
              <w:rPr>
                <w:rFonts w:hint="eastAsia"/>
                <w:sz w:val="28"/>
                <w:szCs w:val="28"/>
              </w:rPr>
              <w:t>层建筑</w:t>
            </w:r>
          </w:p>
        </w:tc>
        <w:tc>
          <w:tcPr>
            <w:tcW w:w="870" w:type="dxa"/>
            <w:vAlign w:val="center"/>
          </w:tcPr>
          <w:p>
            <w:pPr>
              <w:spacing w:line="360" w:lineRule="exact"/>
              <w:ind w:firstLine="0" w:firstLineChars="0"/>
              <w:rPr>
                <w:sz w:val="24"/>
                <w:szCs w:val="24"/>
              </w:rPr>
            </w:pPr>
            <w:r>
              <w:rPr>
                <w:sz w:val="24"/>
                <w:szCs w:val="24"/>
              </w:rPr>
              <w:t>2020-2022</w:t>
            </w:r>
          </w:p>
        </w:tc>
        <w:tc>
          <w:tcPr>
            <w:tcW w:w="1127" w:type="dxa"/>
            <w:vAlign w:val="center"/>
          </w:tcPr>
          <w:p>
            <w:pPr>
              <w:spacing w:line="360" w:lineRule="exact"/>
              <w:ind w:firstLine="0" w:firstLineChars="0"/>
              <w:rPr>
                <w:sz w:val="24"/>
                <w:szCs w:val="24"/>
              </w:rPr>
            </w:pPr>
            <w:r>
              <w:rPr>
                <w:sz w:val="24"/>
                <w:szCs w:val="24"/>
              </w:rPr>
              <w:t>210000</w:t>
            </w:r>
          </w:p>
        </w:tc>
        <w:tc>
          <w:tcPr>
            <w:tcW w:w="993" w:type="dxa"/>
            <w:vAlign w:val="center"/>
          </w:tcPr>
          <w:p>
            <w:pPr>
              <w:spacing w:line="360" w:lineRule="exact"/>
              <w:ind w:firstLine="0" w:firstLineChars="0"/>
              <w:rPr>
                <w:sz w:val="24"/>
                <w:szCs w:val="24"/>
              </w:rPr>
            </w:pPr>
            <w:r>
              <w:rPr>
                <w:sz w:val="24"/>
                <w:szCs w:val="24"/>
              </w:rPr>
              <w:t>126440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8</w:t>
            </w:r>
          </w:p>
        </w:tc>
        <w:tc>
          <w:tcPr>
            <w:tcW w:w="2235" w:type="dxa"/>
            <w:vAlign w:val="center"/>
          </w:tcPr>
          <w:p>
            <w:pPr>
              <w:spacing w:line="360" w:lineRule="exact"/>
              <w:ind w:firstLine="0" w:firstLineChars="0"/>
              <w:rPr>
                <w:sz w:val="28"/>
                <w:szCs w:val="28"/>
              </w:rPr>
            </w:pPr>
            <w:r>
              <w:rPr>
                <w:rFonts w:hint="eastAsia"/>
                <w:sz w:val="28"/>
                <w:szCs w:val="28"/>
              </w:rPr>
              <w:t>揭东区寨二轩宛园</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占地面积</w:t>
            </w:r>
            <w:r>
              <w:rPr>
                <w:sz w:val="28"/>
                <w:szCs w:val="28"/>
              </w:rPr>
              <w:t>13300</w:t>
            </w:r>
            <w:r>
              <w:rPr>
                <w:rFonts w:hint="eastAsia"/>
                <w:sz w:val="28"/>
                <w:szCs w:val="28"/>
              </w:rPr>
              <w:t>平方米，总建筑面积</w:t>
            </w:r>
            <w:r>
              <w:rPr>
                <w:sz w:val="28"/>
                <w:szCs w:val="28"/>
              </w:rPr>
              <w:t>42000</w:t>
            </w:r>
            <w:r>
              <w:rPr>
                <w:rFonts w:hint="eastAsia"/>
                <w:sz w:val="28"/>
                <w:szCs w:val="28"/>
              </w:rPr>
              <w:t>平方米</w:t>
            </w:r>
          </w:p>
        </w:tc>
        <w:tc>
          <w:tcPr>
            <w:tcW w:w="870" w:type="dxa"/>
            <w:vAlign w:val="center"/>
          </w:tcPr>
          <w:p>
            <w:pPr>
              <w:spacing w:line="360" w:lineRule="exact"/>
              <w:ind w:firstLine="0" w:firstLineChars="0"/>
              <w:rPr>
                <w:sz w:val="24"/>
                <w:szCs w:val="24"/>
              </w:rPr>
            </w:pPr>
            <w:r>
              <w:rPr>
                <w:sz w:val="24"/>
                <w:szCs w:val="24"/>
              </w:rPr>
              <w:t>2020-2023</w:t>
            </w:r>
          </w:p>
        </w:tc>
        <w:tc>
          <w:tcPr>
            <w:tcW w:w="1127" w:type="dxa"/>
            <w:vAlign w:val="center"/>
          </w:tcPr>
          <w:p>
            <w:pPr>
              <w:spacing w:line="360" w:lineRule="exact"/>
              <w:ind w:firstLine="0" w:firstLineChars="0"/>
              <w:rPr>
                <w:sz w:val="24"/>
                <w:szCs w:val="24"/>
              </w:rPr>
            </w:pPr>
            <w:r>
              <w:rPr>
                <w:sz w:val="24"/>
                <w:szCs w:val="24"/>
              </w:rPr>
              <w:t>31857</w:t>
            </w:r>
          </w:p>
        </w:tc>
        <w:tc>
          <w:tcPr>
            <w:tcW w:w="993" w:type="dxa"/>
            <w:vAlign w:val="center"/>
          </w:tcPr>
          <w:p>
            <w:pPr>
              <w:spacing w:line="360" w:lineRule="exact"/>
              <w:ind w:firstLine="0" w:firstLineChars="0"/>
              <w:rPr>
                <w:sz w:val="24"/>
                <w:szCs w:val="24"/>
              </w:rPr>
            </w:pPr>
            <w:r>
              <w:rPr>
                <w:sz w:val="24"/>
                <w:szCs w:val="24"/>
              </w:rPr>
              <w:t>25000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vAlign w:val="center"/>
          </w:tcPr>
          <w:p>
            <w:pPr>
              <w:spacing w:line="360" w:lineRule="exact"/>
              <w:ind w:firstLine="0" w:firstLineChars="0"/>
              <w:rPr>
                <w:sz w:val="28"/>
                <w:szCs w:val="28"/>
              </w:rPr>
            </w:pPr>
            <w:r>
              <w:rPr>
                <w:rFonts w:hint="eastAsia"/>
                <w:sz w:val="28"/>
                <w:szCs w:val="28"/>
              </w:rPr>
              <w:t>1</w:t>
            </w:r>
            <w:r>
              <w:rPr>
                <w:sz w:val="28"/>
                <w:szCs w:val="28"/>
              </w:rPr>
              <w:t>9</w:t>
            </w:r>
          </w:p>
        </w:tc>
        <w:tc>
          <w:tcPr>
            <w:tcW w:w="2235" w:type="dxa"/>
            <w:vAlign w:val="center"/>
          </w:tcPr>
          <w:p>
            <w:pPr>
              <w:spacing w:line="360" w:lineRule="exact"/>
              <w:ind w:firstLine="0" w:firstLineChars="0"/>
              <w:rPr>
                <w:sz w:val="28"/>
                <w:szCs w:val="28"/>
              </w:rPr>
            </w:pPr>
            <w:r>
              <w:rPr>
                <w:rFonts w:hint="eastAsia"/>
                <w:sz w:val="28"/>
                <w:szCs w:val="28"/>
              </w:rPr>
              <w:t>揭阳揭东中心区</w:t>
            </w:r>
            <w:r>
              <w:rPr>
                <w:sz w:val="28"/>
                <w:szCs w:val="28"/>
              </w:rPr>
              <w:t>·</w:t>
            </w:r>
            <w:r>
              <w:rPr>
                <w:rFonts w:hint="eastAsia"/>
                <w:sz w:val="28"/>
                <w:szCs w:val="28"/>
              </w:rPr>
              <w:t>佳兆业未来城项目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sz w:val="28"/>
                <w:szCs w:val="28"/>
              </w:rPr>
              <w:t>1</w:t>
            </w:r>
            <w:r>
              <w:rPr>
                <w:rFonts w:hint="eastAsia"/>
                <w:sz w:val="28"/>
                <w:szCs w:val="28"/>
              </w:rPr>
              <w:t>、住宅高层、多层建筑，社区公共用房配套，总建面共约</w:t>
            </w:r>
            <w:r>
              <w:rPr>
                <w:sz w:val="28"/>
                <w:szCs w:val="28"/>
              </w:rPr>
              <w:t>36</w:t>
            </w:r>
            <w:r>
              <w:rPr>
                <w:rFonts w:hint="eastAsia"/>
                <w:sz w:val="28"/>
                <w:szCs w:val="28"/>
              </w:rPr>
              <w:t>万平方米；</w:t>
            </w:r>
            <w:r>
              <w:rPr>
                <w:sz w:val="28"/>
                <w:szCs w:val="28"/>
              </w:rPr>
              <w:t>2</w:t>
            </w:r>
            <w:r>
              <w:rPr>
                <w:rFonts w:hint="eastAsia"/>
                <w:sz w:val="28"/>
                <w:szCs w:val="28"/>
              </w:rPr>
              <w:t>、商业、体育馆、公寓，总建面共约</w:t>
            </w:r>
            <w:r>
              <w:rPr>
                <w:sz w:val="28"/>
                <w:szCs w:val="28"/>
              </w:rPr>
              <w:t>6.3</w:t>
            </w:r>
            <w:r>
              <w:rPr>
                <w:rFonts w:hint="eastAsia"/>
                <w:sz w:val="28"/>
                <w:szCs w:val="28"/>
              </w:rPr>
              <w:t>万平方米；</w:t>
            </w:r>
            <w:r>
              <w:rPr>
                <w:sz w:val="28"/>
                <w:szCs w:val="28"/>
              </w:rPr>
              <w:t>3</w:t>
            </w:r>
            <w:r>
              <w:rPr>
                <w:rFonts w:hint="eastAsia"/>
                <w:sz w:val="28"/>
                <w:szCs w:val="28"/>
              </w:rPr>
              <w:t>、代建市政规划路（飞凤路、东兴路、思源路、一中北街），总建面共约</w:t>
            </w:r>
            <w:r>
              <w:rPr>
                <w:sz w:val="28"/>
                <w:szCs w:val="28"/>
              </w:rPr>
              <w:t>4</w:t>
            </w:r>
            <w:r>
              <w:rPr>
                <w:rFonts w:hint="eastAsia"/>
                <w:sz w:val="28"/>
                <w:szCs w:val="28"/>
              </w:rPr>
              <w:t>万平方米；</w:t>
            </w:r>
          </w:p>
        </w:tc>
        <w:tc>
          <w:tcPr>
            <w:tcW w:w="870" w:type="dxa"/>
            <w:vAlign w:val="center"/>
          </w:tcPr>
          <w:p>
            <w:pPr>
              <w:spacing w:line="360" w:lineRule="exact"/>
              <w:ind w:firstLine="0" w:firstLineChars="0"/>
              <w:rPr>
                <w:sz w:val="24"/>
                <w:szCs w:val="24"/>
              </w:rPr>
            </w:pPr>
            <w:r>
              <w:rPr>
                <w:sz w:val="24"/>
                <w:szCs w:val="24"/>
              </w:rPr>
              <w:t>2021-2023</w:t>
            </w:r>
          </w:p>
        </w:tc>
        <w:tc>
          <w:tcPr>
            <w:tcW w:w="1127" w:type="dxa"/>
            <w:vAlign w:val="center"/>
          </w:tcPr>
          <w:p>
            <w:pPr>
              <w:spacing w:line="360" w:lineRule="exact"/>
              <w:ind w:firstLine="0" w:firstLineChars="0"/>
              <w:rPr>
                <w:sz w:val="24"/>
                <w:szCs w:val="24"/>
              </w:rPr>
            </w:pPr>
            <w:r>
              <w:rPr>
                <w:sz w:val="24"/>
                <w:szCs w:val="24"/>
              </w:rPr>
              <w:t>206700</w:t>
            </w:r>
          </w:p>
        </w:tc>
        <w:tc>
          <w:tcPr>
            <w:tcW w:w="993" w:type="dxa"/>
            <w:vAlign w:val="center"/>
          </w:tcPr>
          <w:p>
            <w:pPr>
              <w:spacing w:line="360" w:lineRule="exact"/>
              <w:ind w:firstLine="0" w:firstLineChars="0"/>
              <w:rPr>
                <w:sz w:val="24"/>
                <w:szCs w:val="24"/>
              </w:rPr>
            </w:pPr>
            <w:r>
              <w:rPr>
                <w:sz w:val="24"/>
                <w:szCs w:val="24"/>
              </w:rPr>
              <w:t>206700</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0</w:t>
            </w:r>
          </w:p>
        </w:tc>
        <w:tc>
          <w:tcPr>
            <w:tcW w:w="2235" w:type="dxa"/>
            <w:vAlign w:val="center"/>
          </w:tcPr>
          <w:p>
            <w:pPr>
              <w:spacing w:line="360" w:lineRule="exact"/>
              <w:ind w:firstLine="0" w:firstLineChars="0"/>
              <w:rPr>
                <w:sz w:val="28"/>
                <w:szCs w:val="28"/>
              </w:rPr>
            </w:pPr>
            <w:r>
              <w:rPr>
                <w:rFonts w:hint="eastAsia"/>
                <w:sz w:val="28"/>
                <w:szCs w:val="28"/>
              </w:rPr>
              <w:t>广东良祚大健康科技有限公司总部</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项目占地面积</w:t>
            </w:r>
            <w:r>
              <w:rPr>
                <w:sz w:val="28"/>
                <w:szCs w:val="28"/>
              </w:rPr>
              <w:t>25494.6</w:t>
            </w:r>
            <w:r>
              <w:rPr>
                <w:rFonts w:hint="eastAsia"/>
                <w:sz w:val="28"/>
                <w:szCs w:val="28"/>
              </w:rPr>
              <w:t>平方米，建筑面积</w:t>
            </w:r>
            <w:r>
              <w:rPr>
                <w:sz w:val="28"/>
                <w:szCs w:val="28"/>
              </w:rPr>
              <w:t>114725</w:t>
            </w:r>
            <w:r>
              <w:rPr>
                <w:rFonts w:hint="eastAsia"/>
                <w:sz w:val="28"/>
                <w:szCs w:val="28"/>
              </w:rPr>
              <w:t>平方米。主要建设商务公寓、人才专家公寓、服务型公寓、商务酒店、商业购物广场、餐饮美食广场、商务办公中心、商务会议中心、大健康科技研发中心、中医药文化创意中心、中药饮片生产硏发、医药电子商务中心、互联网医疗中心等。</w:t>
            </w:r>
          </w:p>
        </w:tc>
        <w:tc>
          <w:tcPr>
            <w:tcW w:w="870" w:type="dxa"/>
            <w:vAlign w:val="center"/>
          </w:tcPr>
          <w:p>
            <w:pPr>
              <w:spacing w:line="360" w:lineRule="exact"/>
              <w:ind w:firstLine="0" w:firstLineChars="0"/>
              <w:rPr>
                <w:sz w:val="24"/>
                <w:szCs w:val="24"/>
              </w:rPr>
            </w:pPr>
            <w:r>
              <w:rPr>
                <w:sz w:val="24"/>
                <w:szCs w:val="24"/>
              </w:rPr>
              <w:t>2021-2023</w:t>
            </w:r>
          </w:p>
        </w:tc>
        <w:tc>
          <w:tcPr>
            <w:tcW w:w="1127" w:type="dxa"/>
            <w:vAlign w:val="center"/>
          </w:tcPr>
          <w:p>
            <w:pPr>
              <w:spacing w:line="360" w:lineRule="exact"/>
              <w:ind w:firstLine="0" w:firstLineChars="0"/>
              <w:rPr>
                <w:sz w:val="24"/>
                <w:szCs w:val="24"/>
              </w:rPr>
            </w:pPr>
            <w:r>
              <w:rPr>
                <w:sz w:val="24"/>
                <w:szCs w:val="24"/>
              </w:rPr>
              <w:t>50000</w:t>
            </w:r>
          </w:p>
        </w:tc>
        <w:tc>
          <w:tcPr>
            <w:tcW w:w="993" w:type="dxa"/>
            <w:vAlign w:val="center"/>
          </w:tcPr>
          <w:p>
            <w:pPr>
              <w:spacing w:line="360" w:lineRule="exact"/>
              <w:ind w:firstLine="0" w:firstLineChars="0"/>
              <w:rPr>
                <w:sz w:val="24"/>
                <w:szCs w:val="24"/>
              </w:rPr>
            </w:pPr>
            <w:r>
              <w:rPr>
                <w:sz w:val="24"/>
                <w:szCs w:val="24"/>
              </w:rPr>
              <w:t>50000</w:t>
            </w:r>
          </w:p>
        </w:tc>
        <w:tc>
          <w:tcPr>
            <w:tcW w:w="1275" w:type="dxa"/>
            <w:vAlign w:val="center"/>
          </w:tcPr>
          <w:p>
            <w:pPr>
              <w:spacing w:line="360" w:lineRule="exact"/>
              <w:ind w:firstLine="0" w:firstLineChars="0"/>
              <w:rPr>
                <w:sz w:val="28"/>
                <w:szCs w:val="28"/>
              </w:rPr>
            </w:pPr>
            <w:r>
              <w:rPr>
                <w:rFonts w:hint="eastAsia"/>
                <w:sz w:val="28"/>
                <w:szCs w:val="28"/>
              </w:rPr>
              <w:t>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1</w:t>
            </w:r>
          </w:p>
        </w:tc>
        <w:tc>
          <w:tcPr>
            <w:tcW w:w="2235" w:type="dxa"/>
            <w:vAlign w:val="center"/>
          </w:tcPr>
          <w:p>
            <w:pPr>
              <w:spacing w:line="360" w:lineRule="exact"/>
              <w:ind w:firstLine="0" w:firstLineChars="0"/>
              <w:rPr>
                <w:sz w:val="28"/>
                <w:szCs w:val="28"/>
              </w:rPr>
            </w:pPr>
            <w:r>
              <w:rPr>
                <w:rFonts w:hint="eastAsia"/>
                <w:sz w:val="28"/>
                <w:szCs w:val="28"/>
              </w:rPr>
              <w:t>揭东区天成东玺花园</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总建筑面积约</w:t>
            </w:r>
            <w:r>
              <w:rPr>
                <w:sz w:val="28"/>
                <w:szCs w:val="28"/>
              </w:rPr>
              <w:t>19.3</w:t>
            </w:r>
            <w:r>
              <w:rPr>
                <w:rFonts w:hint="eastAsia"/>
                <w:sz w:val="28"/>
                <w:szCs w:val="28"/>
              </w:rPr>
              <w:t>万平方米。其中住宅区面积约</w:t>
            </w:r>
            <w:r>
              <w:rPr>
                <w:sz w:val="28"/>
                <w:szCs w:val="28"/>
              </w:rPr>
              <w:t>14.5</w:t>
            </w:r>
            <w:r>
              <w:rPr>
                <w:rFonts w:hint="eastAsia"/>
                <w:sz w:val="28"/>
                <w:szCs w:val="28"/>
              </w:rPr>
              <w:t>万㎡临街商铺面积约为</w:t>
            </w:r>
            <w:r>
              <w:rPr>
                <w:sz w:val="28"/>
                <w:szCs w:val="28"/>
              </w:rPr>
              <w:t>1.2</w:t>
            </w:r>
            <w:r>
              <w:rPr>
                <w:rFonts w:hint="eastAsia"/>
                <w:sz w:val="28"/>
                <w:szCs w:val="28"/>
              </w:rPr>
              <w:t>万㎡，其它配套区约为</w:t>
            </w:r>
            <w:r>
              <w:rPr>
                <w:sz w:val="28"/>
                <w:szCs w:val="28"/>
              </w:rPr>
              <w:t>3.6</w:t>
            </w:r>
            <w:r>
              <w:rPr>
                <w:rFonts w:hint="eastAsia"/>
                <w:sz w:val="28"/>
                <w:szCs w:val="28"/>
              </w:rPr>
              <w:t>万㎡</w:t>
            </w:r>
          </w:p>
        </w:tc>
        <w:tc>
          <w:tcPr>
            <w:tcW w:w="870" w:type="dxa"/>
            <w:vAlign w:val="center"/>
          </w:tcPr>
          <w:p>
            <w:pPr>
              <w:spacing w:line="360" w:lineRule="exact"/>
              <w:ind w:firstLine="0" w:firstLineChars="0"/>
              <w:rPr>
                <w:sz w:val="24"/>
                <w:szCs w:val="24"/>
              </w:rPr>
            </w:pPr>
            <w:r>
              <w:rPr>
                <w:sz w:val="24"/>
                <w:szCs w:val="24"/>
              </w:rPr>
              <w:t>2018-2022</w:t>
            </w:r>
          </w:p>
        </w:tc>
        <w:tc>
          <w:tcPr>
            <w:tcW w:w="1127" w:type="dxa"/>
            <w:vAlign w:val="center"/>
          </w:tcPr>
          <w:p>
            <w:pPr>
              <w:spacing w:line="360" w:lineRule="exact"/>
              <w:ind w:firstLine="0" w:firstLineChars="0"/>
              <w:rPr>
                <w:sz w:val="24"/>
                <w:szCs w:val="24"/>
              </w:rPr>
            </w:pPr>
            <w:r>
              <w:rPr>
                <w:sz w:val="24"/>
                <w:szCs w:val="24"/>
              </w:rPr>
              <w:t>103279</w:t>
            </w:r>
          </w:p>
        </w:tc>
        <w:tc>
          <w:tcPr>
            <w:tcW w:w="993" w:type="dxa"/>
            <w:vAlign w:val="center"/>
          </w:tcPr>
          <w:p>
            <w:pPr>
              <w:spacing w:line="360" w:lineRule="exact"/>
              <w:ind w:firstLine="0" w:firstLineChars="0"/>
              <w:rPr>
                <w:sz w:val="24"/>
                <w:szCs w:val="24"/>
              </w:rPr>
            </w:pPr>
            <w:r>
              <w:rPr>
                <w:sz w:val="24"/>
                <w:szCs w:val="24"/>
              </w:rPr>
              <w:t>85279</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2</w:t>
            </w:r>
          </w:p>
        </w:tc>
        <w:tc>
          <w:tcPr>
            <w:tcW w:w="2235" w:type="dxa"/>
            <w:vAlign w:val="center"/>
          </w:tcPr>
          <w:p>
            <w:pPr>
              <w:spacing w:line="360" w:lineRule="exact"/>
              <w:ind w:firstLine="0" w:firstLineChars="0"/>
              <w:rPr>
                <w:sz w:val="28"/>
                <w:szCs w:val="28"/>
              </w:rPr>
            </w:pPr>
            <w:r>
              <w:rPr>
                <w:rFonts w:hint="eastAsia"/>
                <w:sz w:val="28"/>
                <w:szCs w:val="28"/>
              </w:rPr>
              <w:t>东方一品建设项目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项目占地面积</w:t>
            </w:r>
            <w:r>
              <w:rPr>
                <w:sz w:val="28"/>
                <w:szCs w:val="28"/>
              </w:rPr>
              <w:t>194776.3</w:t>
            </w:r>
            <w:r>
              <w:rPr>
                <w:rFonts w:hint="eastAsia"/>
                <w:sz w:val="28"/>
                <w:szCs w:val="28"/>
              </w:rPr>
              <w:t>平方米，总建筑面积约</w:t>
            </w:r>
            <w:r>
              <w:rPr>
                <w:sz w:val="28"/>
                <w:szCs w:val="28"/>
              </w:rPr>
              <w:t>732651.3</w:t>
            </w:r>
            <w:r>
              <w:rPr>
                <w:rFonts w:hint="eastAsia"/>
                <w:sz w:val="28"/>
                <w:szCs w:val="28"/>
              </w:rPr>
              <w:t>平方米。拟建</w:t>
            </w:r>
            <w:r>
              <w:rPr>
                <w:sz w:val="28"/>
                <w:szCs w:val="28"/>
              </w:rPr>
              <w:t>19</w:t>
            </w:r>
            <w:r>
              <w:rPr>
                <w:rFonts w:hint="eastAsia"/>
                <w:sz w:val="28"/>
                <w:szCs w:val="28"/>
              </w:rPr>
              <w:t>栋</w:t>
            </w:r>
            <w:r>
              <w:rPr>
                <w:sz w:val="28"/>
                <w:szCs w:val="28"/>
              </w:rPr>
              <w:t>24-31</w:t>
            </w:r>
            <w:r>
              <w:rPr>
                <w:rFonts w:hint="eastAsia"/>
                <w:sz w:val="28"/>
                <w:szCs w:val="28"/>
              </w:rPr>
              <w:t>层高层住宅、</w:t>
            </w:r>
            <w:r>
              <w:rPr>
                <w:sz w:val="28"/>
                <w:szCs w:val="28"/>
              </w:rPr>
              <w:t>2</w:t>
            </w:r>
            <w:r>
              <w:rPr>
                <w:rFonts w:hint="eastAsia"/>
                <w:sz w:val="28"/>
                <w:szCs w:val="28"/>
              </w:rPr>
              <w:t>栋一层商铺、</w:t>
            </w:r>
            <w:r>
              <w:rPr>
                <w:sz w:val="28"/>
                <w:szCs w:val="28"/>
              </w:rPr>
              <w:t>8</w:t>
            </w:r>
            <w:r>
              <w:rPr>
                <w:rFonts w:hint="eastAsia"/>
                <w:sz w:val="28"/>
                <w:szCs w:val="28"/>
              </w:rPr>
              <w:t>栋复式</w:t>
            </w:r>
            <w:r>
              <w:rPr>
                <w:sz w:val="28"/>
                <w:szCs w:val="28"/>
              </w:rPr>
              <w:t>6</w:t>
            </w:r>
            <w:r>
              <w:rPr>
                <w:rFonts w:hint="eastAsia"/>
                <w:sz w:val="28"/>
                <w:szCs w:val="28"/>
              </w:rPr>
              <w:t>层住宅、</w:t>
            </w:r>
            <w:r>
              <w:rPr>
                <w:sz w:val="28"/>
                <w:szCs w:val="28"/>
              </w:rPr>
              <w:t>36</w:t>
            </w:r>
            <w:r>
              <w:rPr>
                <w:rFonts w:hint="eastAsia"/>
                <w:sz w:val="28"/>
                <w:szCs w:val="28"/>
              </w:rPr>
              <w:t>栋低层住宅、一层地下车库、设备房、消防控制室、风井、烟道、小区大门，配套建设中小学、班幼儿园，社区公共服务用房、养老服务用房、公厕、充电桩等</w:t>
            </w:r>
          </w:p>
        </w:tc>
        <w:tc>
          <w:tcPr>
            <w:tcW w:w="870" w:type="dxa"/>
            <w:vAlign w:val="center"/>
          </w:tcPr>
          <w:p>
            <w:pPr>
              <w:spacing w:line="360" w:lineRule="exact"/>
              <w:ind w:firstLine="0" w:firstLineChars="0"/>
              <w:rPr>
                <w:sz w:val="24"/>
                <w:szCs w:val="24"/>
              </w:rPr>
            </w:pPr>
            <w:r>
              <w:rPr>
                <w:sz w:val="24"/>
                <w:szCs w:val="24"/>
              </w:rPr>
              <w:t>2020-2024</w:t>
            </w:r>
          </w:p>
        </w:tc>
        <w:tc>
          <w:tcPr>
            <w:tcW w:w="1127" w:type="dxa"/>
            <w:vAlign w:val="center"/>
          </w:tcPr>
          <w:p>
            <w:pPr>
              <w:spacing w:line="360" w:lineRule="exact"/>
              <w:ind w:firstLine="0" w:firstLineChars="0"/>
              <w:rPr>
                <w:sz w:val="24"/>
                <w:szCs w:val="24"/>
              </w:rPr>
            </w:pPr>
            <w:r>
              <w:rPr>
                <w:sz w:val="24"/>
                <w:szCs w:val="24"/>
              </w:rPr>
              <w:t>370000</w:t>
            </w:r>
          </w:p>
        </w:tc>
        <w:tc>
          <w:tcPr>
            <w:tcW w:w="993" w:type="dxa"/>
            <w:vAlign w:val="center"/>
          </w:tcPr>
          <w:p>
            <w:pPr>
              <w:spacing w:line="360" w:lineRule="exact"/>
              <w:ind w:firstLine="0" w:firstLineChars="0"/>
              <w:rPr>
                <w:sz w:val="24"/>
                <w:szCs w:val="24"/>
              </w:rPr>
            </w:pPr>
            <w:r>
              <w:rPr>
                <w:sz w:val="24"/>
                <w:szCs w:val="24"/>
              </w:rPr>
              <w:t>290000</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3</w:t>
            </w:r>
          </w:p>
        </w:tc>
        <w:tc>
          <w:tcPr>
            <w:tcW w:w="2235" w:type="dxa"/>
            <w:vAlign w:val="center"/>
          </w:tcPr>
          <w:p>
            <w:pPr>
              <w:spacing w:line="360" w:lineRule="exact"/>
              <w:ind w:firstLine="0" w:firstLineChars="0"/>
              <w:rPr>
                <w:sz w:val="28"/>
                <w:szCs w:val="28"/>
              </w:rPr>
            </w:pPr>
            <w:r>
              <w:rPr>
                <w:rFonts w:hint="eastAsia"/>
                <w:sz w:val="28"/>
                <w:szCs w:val="28"/>
              </w:rPr>
              <w:t>揭商大厦（金叶小区）</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项目位于揭东区揭东大道以北，金叶路以西，总建筑面积约</w:t>
            </w:r>
            <w:r>
              <w:rPr>
                <w:sz w:val="28"/>
                <w:szCs w:val="28"/>
              </w:rPr>
              <w:t>35416</w:t>
            </w:r>
            <w:r>
              <w:rPr>
                <w:rFonts w:hint="eastAsia"/>
                <w:sz w:val="28"/>
                <w:szCs w:val="28"/>
              </w:rPr>
              <w:t>平方米，建设主楼一栋（</w:t>
            </w:r>
            <w:r>
              <w:rPr>
                <w:sz w:val="28"/>
                <w:szCs w:val="28"/>
              </w:rPr>
              <w:t>17</w:t>
            </w:r>
            <w:r>
              <w:rPr>
                <w:rFonts w:hint="eastAsia"/>
                <w:sz w:val="28"/>
                <w:szCs w:val="28"/>
              </w:rPr>
              <w:t>层）及裙楼。</w:t>
            </w:r>
          </w:p>
        </w:tc>
        <w:tc>
          <w:tcPr>
            <w:tcW w:w="870" w:type="dxa"/>
            <w:vAlign w:val="center"/>
          </w:tcPr>
          <w:p>
            <w:pPr>
              <w:spacing w:line="360" w:lineRule="exact"/>
              <w:ind w:firstLine="0" w:firstLineChars="0"/>
              <w:rPr>
                <w:sz w:val="24"/>
                <w:szCs w:val="24"/>
              </w:rPr>
            </w:pPr>
            <w:r>
              <w:rPr>
                <w:sz w:val="24"/>
                <w:szCs w:val="24"/>
              </w:rPr>
              <w:t>2019-2022</w:t>
            </w:r>
          </w:p>
        </w:tc>
        <w:tc>
          <w:tcPr>
            <w:tcW w:w="1127" w:type="dxa"/>
            <w:vAlign w:val="center"/>
          </w:tcPr>
          <w:p>
            <w:pPr>
              <w:spacing w:line="360" w:lineRule="exact"/>
              <w:ind w:firstLine="0" w:firstLineChars="0"/>
              <w:rPr>
                <w:sz w:val="24"/>
                <w:szCs w:val="24"/>
              </w:rPr>
            </w:pPr>
            <w:r>
              <w:rPr>
                <w:sz w:val="24"/>
                <w:szCs w:val="24"/>
              </w:rPr>
              <w:t>14500</w:t>
            </w:r>
          </w:p>
        </w:tc>
        <w:tc>
          <w:tcPr>
            <w:tcW w:w="993" w:type="dxa"/>
            <w:vAlign w:val="center"/>
          </w:tcPr>
          <w:p>
            <w:pPr>
              <w:spacing w:line="360" w:lineRule="exact"/>
              <w:ind w:firstLine="0" w:firstLineChars="0"/>
              <w:rPr>
                <w:sz w:val="24"/>
                <w:szCs w:val="24"/>
              </w:rPr>
            </w:pPr>
            <w:r>
              <w:rPr>
                <w:sz w:val="24"/>
                <w:szCs w:val="24"/>
              </w:rPr>
              <w:t>6330</w:t>
            </w:r>
          </w:p>
        </w:tc>
        <w:tc>
          <w:tcPr>
            <w:tcW w:w="1275" w:type="dxa"/>
            <w:vAlign w:val="center"/>
          </w:tcPr>
          <w:p>
            <w:pPr>
              <w:spacing w:line="360" w:lineRule="exact"/>
              <w:ind w:firstLine="0" w:firstLineChars="0"/>
              <w:rPr>
                <w:sz w:val="28"/>
                <w:szCs w:val="28"/>
              </w:rPr>
            </w:pPr>
            <w:r>
              <w:rPr>
                <w:rFonts w:hint="eastAsia"/>
                <w:sz w:val="28"/>
                <w:szCs w:val="28"/>
              </w:rPr>
              <w:t>揭东区金叶发展公司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4</w:t>
            </w:r>
          </w:p>
        </w:tc>
        <w:tc>
          <w:tcPr>
            <w:tcW w:w="2235" w:type="dxa"/>
            <w:vAlign w:val="center"/>
          </w:tcPr>
          <w:p>
            <w:pPr>
              <w:spacing w:line="360" w:lineRule="exact"/>
              <w:ind w:firstLine="0" w:firstLineChars="0"/>
              <w:rPr>
                <w:sz w:val="28"/>
                <w:szCs w:val="28"/>
              </w:rPr>
            </w:pPr>
            <w:r>
              <w:rPr>
                <w:rFonts w:hint="eastAsia"/>
                <w:sz w:val="28"/>
                <w:szCs w:val="28"/>
              </w:rPr>
              <w:t>望天湖大型商贸区</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建设高端旅游配套服务设施，服务于广东望天湖生态康养小镇、景区及周边特色村落</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50000</w:t>
            </w:r>
          </w:p>
        </w:tc>
        <w:tc>
          <w:tcPr>
            <w:tcW w:w="993" w:type="dxa"/>
            <w:vAlign w:val="center"/>
          </w:tcPr>
          <w:p>
            <w:pPr>
              <w:spacing w:line="360" w:lineRule="exact"/>
              <w:ind w:firstLine="0" w:firstLineChars="0"/>
              <w:rPr>
                <w:sz w:val="24"/>
                <w:szCs w:val="24"/>
              </w:rPr>
            </w:pPr>
            <w:r>
              <w:rPr>
                <w:sz w:val="24"/>
                <w:szCs w:val="24"/>
              </w:rPr>
              <w:t>50000</w:t>
            </w:r>
          </w:p>
        </w:tc>
        <w:tc>
          <w:tcPr>
            <w:tcW w:w="1275" w:type="dxa"/>
            <w:vAlign w:val="center"/>
          </w:tcPr>
          <w:p>
            <w:pPr>
              <w:spacing w:line="360" w:lineRule="exact"/>
              <w:ind w:firstLine="0" w:firstLineChars="0"/>
              <w:rPr>
                <w:sz w:val="28"/>
                <w:szCs w:val="28"/>
              </w:rPr>
            </w:pPr>
            <w:r>
              <w:rPr>
                <w:rFonts w:hint="eastAsia"/>
                <w:sz w:val="28"/>
                <w:szCs w:val="28"/>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5</w:t>
            </w:r>
          </w:p>
        </w:tc>
        <w:tc>
          <w:tcPr>
            <w:tcW w:w="2235" w:type="dxa"/>
            <w:vAlign w:val="center"/>
          </w:tcPr>
          <w:p>
            <w:pPr>
              <w:spacing w:line="360" w:lineRule="exact"/>
              <w:ind w:firstLine="0" w:firstLineChars="0"/>
              <w:rPr>
                <w:sz w:val="28"/>
                <w:szCs w:val="28"/>
              </w:rPr>
            </w:pPr>
            <w:r>
              <w:rPr>
                <w:rFonts w:hint="eastAsia"/>
                <w:sz w:val="28"/>
                <w:szCs w:val="28"/>
              </w:rPr>
              <w:t>中德大宗（广东）资源有限公司</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中德金属生态城管委会与国金金属网信息科技有限公司、中基宁波集团股份有限公司三方将共同合作，打造华南地区以现代服务业为核心的区域性大宗商品现货交易中心。新大宗商品交易中心，建成后将以现代服务业为核心，辅助以特色金融服务的区域性大宗商品现货交易平台，将促进地方国有企业与优质产业的交流合作，推动揭东区产业结构化升级，提升揭东区在现代服务业和特色金融业的竞争力。</w:t>
            </w:r>
          </w:p>
        </w:tc>
        <w:tc>
          <w:tcPr>
            <w:tcW w:w="870" w:type="dxa"/>
            <w:vAlign w:val="center"/>
          </w:tcPr>
          <w:p>
            <w:pPr>
              <w:spacing w:line="360" w:lineRule="exact"/>
              <w:ind w:firstLine="0" w:firstLineChars="0"/>
              <w:rPr>
                <w:sz w:val="24"/>
                <w:szCs w:val="24"/>
              </w:rPr>
            </w:pPr>
            <w:r>
              <w:rPr>
                <w:sz w:val="24"/>
                <w:szCs w:val="24"/>
              </w:rPr>
              <w:t>2021-2022</w:t>
            </w:r>
          </w:p>
        </w:tc>
        <w:tc>
          <w:tcPr>
            <w:tcW w:w="1127" w:type="dxa"/>
            <w:vAlign w:val="center"/>
          </w:tcPr>
          <w:p>
            <w:pPr>
              <w:spacing w:line="360" w:lineRule="exact"/>
              <w:ind w:firstLine="0" w:firstLineChars="0"/>
              <w:rPr>
                <w:sz w:val="24"/>
                <w:szCs w:val="24"/>
              </w:rPr>
            </w:pPr>
            <w:r>
              <w:rPr>
                <w:sz w:val="24"/>
                <w:szCs w:val="24"/>
              </w:rPr>
              <w:t>30000</w:t>
            </w:r>
          </w:p>
        </w:tc>
        <w:tc>
          <w:tcPr>
            <w:tcW w:w="993" w:type="dxa"/>
            <w:vAlign w:val="center"/>
          </w:tcPr>
          <w:p>
            <w:pPr>
              <w:spacing w:line="360" w:lineRule="exact"/>
              <w:ind w:firstLine="0" w:firstLineChars="0"/>
              <w:rPr>
                <w:sz w:val="24"/>
                <w:szCs w:val="24"/>
              </w:rPr>
            </w:pPr>
            <w:r>
              <w:rPr>
                <w:sz w:val="24"/>
                <w:szCs w:val="24"/>
              </w:rPr>
              <w:t>30000</w:t>
            </w:r>
          </w:p>
        </w:tc>
        <w:tc>
          <w:tcPr>
            <w:tcW w:w="1275" w:type="dxa"/>
            <w:vAlign w:val="center"/>
          </w:tcPr>
          <w:p>
            <w:pPr>
              <w:spacing w:line="360" w:lineRule="exact"/>
              <w:ind w:firstLine="0" w:firstLineChars="0"/>
              <w:rPr>
                <w:sz w:val="28"/>
                <w:szCs w:val="28"/>
              </w:rPr>
            </w:pPr>
            <w:r>
              <w:rPr>
                <w:rFonts w:hint="eastAsia"/>
                <w:sz w:val="28"/>
                <w:szCs w:val="28"/>
              </w:rPr>
              <w:t>中德金属生态城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6</w:t>
            </w:r>
          </w:p>
        </w:tc>
        <w:tc>
          <w:tcPr>
            <w:tcW w:w="2235" w:type="dxa"/>
            <w:vAlign w:val="center"/>
          </w:tcPr>
          <w:p>
            <w:pPr>
              <w:spacing w:line="360" w:lineRule="exact"/>
              <w:ind w:firstLine="0" w:firstLineChars="0"/>
              <w:rPr>
                <w:sz w:val="28"/>
                <w:szCs w:val="28"/>
              </w:rPr>
            </w:pPr>
            <w:r>
              <w:rPr>
                <w:rFonts w:hint="eastAsia"/>
                <w:sz w:val="28"/>
                <w:szCs w:val="28"/>
              </w:rPr>
              <w:t>圆通速递揭东区域总部基地项目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一期项目占地</w:t>
            </w:r>
            <w:r>
              <w:rPr>
                <w:sz w:val="28"/>
                <w:szCs w:val="28"/>
              </w:rPr>
              <w:t>141</w:t>
            </w:r>
            <w:r>
              <w:rPr>
                <w:rFonts w:hint="eastAsia"/>
                <w:sz w:val="28"/>
                <w:szCs w:val="28"/>
              </w:rPr>
              <w:t>亩。拟建仓配一体等物流延伸服务物流，项目规划总建筑面积</w:t>
            </w:r>
            <w:r>
              <w:rPr>
                <w:sz w:val="28"/>
                <w:szCs w:val="28"/>
              </w:rPr>
              <w:t>76562.97</w:t>
            </w:r>
            <w:r>
              <w:rPr>
                <w:rFonts w:hint="eastAsia"/>
                <w:sz w:val="28"/>
                <w:szCs w:val="28"/>
              </w:rPr>
              <w:t>平方米，主要用于圆通速递在揭东区域的行政办公、市场营销、电子仓储、快件集散等功能于一体的区域总部基地项目。项目全部投产后预计年处理票件量</w:t>
            </w:r>
            <w:r>
              <w:rPr>
                <w:sz w:val="28"/>
                <w:szCs w:val="28"/>
              </w:rPr>
              <w:t>3</w:t>
            </w:r>
            <w:r>
              <w:rPr>
                <w:rFonts w:hint="eastAsia"/>
                <w:sz w:val="28"/>
                <w:szCs w:val="28"/>
              </w:rPr>
              <w:t>亿件。二期建设圆通智能物流配送中心项目。</w:t>
            </w:r>
          </w:p>
        </w:tc>
        <w:tc>
          <w:tcPr>
            <w:tcW w:w="870" w:type="dxa"/>
            <w:vAlign w:val="center"/>
          </w:tcPr>
          <w:p>
            <w:pPr>
              <w:spacing w:line="360" w:lineRule="exact"/>
              <w:ind w:firstLine="0" w:firstLineChars="0"/>
              <w:rPr>
                <w:sz w:val="24"/>
                <w:szCs w:val="24"/>
              </w:rPr>
            </w:pPr>
            <w:r>
              <w:rPr>
                <w:sz w:val="24"/>
                <w:szCs w:val="24"/>
              </w:rPr>
              <w:t>2020-2022</w:t>
            </w:r>
          </w:p>
        </w:tc>
        <w:tc>
          <w:tcPr>
            <w:tcW w:w="1127" w:type="dxa"/>
            <w:vAlign w:val="center"/>
          </w:tcPr>
          <w:p>
            <w:pPr>
              <w:spacing w:line="360" w:lineRule="exact"/>
              <w:ind w:firstLine="0" w:firstLineChars="0"/>
              <w:rPr>
                <w:sz w:val="24"/>
                <w:szCs w:val="24"/>
              </w:rPr>
            </w:pPr>
            <w:r>
              <w:rPr>
                <w:sz w:val="24"/>
                <w:szCs w:val="24"/>
              </w:rPr>
              <w:t>116000</w:t>
            </w:r>
          </w:p>
        </w:tc>
        <w:tc>
          <w:tcPr>
            <w:tcW w:w="993" w:type="dxa"/>
            <w:vAlign w:val="center"/>
          </w:tcPr>
          <w:p>
            <w:pPr>
              <w:spacing w:line="360" w:lineRule="exact"/>
              <w:ind w:firstLine="0" w:firstLineChars="0"/>
              <w:rPr>
                <w:sz w:val="24"/>
                <w:szCs w:val="24"/>
              </w:rPr>
            </w:pPr>
            <w:r>
              <w:rPr>
                <w:sz w:val="24"/>
                <w:szCs w:val="24"/>
              </w:rPr>
              <w:t>113000</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566" w:type="dxa"/>
            <w:vAlign w:val="center"/>
          </w:tcPr>
          <w:p>
            <w:pPr>
              <w:spacing w:line="360" w:lineRule="exact"/>
              <w:ind w:firstLine="0" w:firstLineChars="0"/>
              <w:rPr>
                <w:sz w:val="28"/>
                <w:szCs w:val="28"/>
              </w:rPr>
            </w:pPr>
            <w:r>
              <w:rPr>
                <w:sz w:val="28"/>
                <w:szCs w:val="28"/>
              </w:rPr>
              <w:t>27</w:t>
            </w:r>
          </w:p>
        </w:tc>
        <w:tc>
          <w:tcPr>
            <w:tcW w:w="2235" w:type="dxa"/>
            <w:vAlign w:val="center"/>
          </w:tcPr>
          <w:p>
            <w:pPr>
              <w:spacing w:line="360" w:lineRule="exact"/>
              <w:ind w:firstLine="0" w:firstLineChars="0"/>
              <w:rPr>
                <w:sz w:val="28"/>
                <w:szCs w:val="28"/>
              </w:rPr>
            </w:pPr>
            <w:r>
              <w:rPr>
                <w:rFonts w:hint="eastAsia"/>
                <w:sz w:val="28"/>
                <w:szCs w:val="28"/>
              </w:rPr>
              <w:t>科赫集团合作项目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sz w:val="28"/>
                <w:szCs w:val="28"/>
              </w:rPr>
              <w:t>1.</w:t>
            </w:r>
            <w:r>
              <w:rPr>
                <w:rFonts w:hint="eastAsia"/>
                <w:sz w:val="28"/>
                <w:szCs w:val="28"/>
              </w:rPr>
              <w:t>采取设立独资公司、合资公司等模式入驻生态城，并将逐步将研发、设计中心转移至生态城。</w:t>
            </w:r>
            <w:r>
              <w:rPr>
                <w:sz w:val="28"/>
                <w:szCs w:val="28"/>
              </w:rPr>
              <w:t>2.</w:t>
            </w:r>
            <w:r>
              <w:rPr>
                <w:rFonts w:hint="eastAsia"/>
                <w:sz w:val="28"/>
                <w:szCs w:val="28"/>
              </w:rPr>
              <w:t>在生态城建立工业</w:t>
            </w:r>
            <w:r>
              <w:rPr>
                <w:sz w:val="28"/>
                <w:szCs w:val="28"/>
              </w:rPr>
              <w:t>4.0</w:t>
            </w:r>
            <w:r>
              <w:rPr>
                <w:rFonts w:hint="eastAsia"/>
                <w:sz w:val="28"/>
                <w:szCs w:val="28"/>
              </w:rPr>
              <w:t>的标杆以及绿色安全工业技术，并帮助生态城与全球领先的技术提供商、大学和机构进行合作。</w:t>
            </w:r>
            <w:r>
              <w:rPr>
                <w:sz w:val="28"/>
                <w:szCs w:val="28"/>
              </w:rPr>
              <w:t>3.</w:t>
            </w:r>
            <w:r>
              <w:rPr>
                <w:rFonts w:hint="eastAsia"/>
                <w:sz w:val="28"/>
                <w:szCs w:val="28"/>
              </w:rPr>
              <w:t>利用在德国特别是萨尔区的信誉以及与政府间的良好关系，在德国特别是萨尔区推荐生态城项目，吸引德国企业特别是高科技、绿色发展类企业进驻生态城。</w:t>
            </w:r>
            <w:r>
              <w:rPr>
                <w:sz w:val="28"/>
                <w:szCs w:val="28"/>
              </w:rPr>
              <w:t>4.</w:t>
            </w:r>
            <w:r>
              <w:rPr>
                <w:rFonts w:hint="eastAsia"/>
                <w:sz w:val="28"/>
                <w:szCs w:val="28"/>
              </w:rPr>
              <w:t>搭建技术中心，将生态城发展成为萨尔州</w:t>
            </w:r>
            <w:r>
              <w:rPr>
                <w:sz w:val="28"/>
                <w:szCs w:val="28"/>
              </w:rPr>
              <w:t>/</w:t>
            </w:r>
            <w:r>
              <w:rPr>
                <w:rFonts w:hint="eastAsia"/>
                <w:sz w:val="28"/>
                <w:szCs w:val="28"/>
              </w:rPr>
              <w:t>萨洛卢大区</w:t>
            </w:r>
            <w:r>
              <w:rPr>
                <w:sz w:val="28"/>
                <w:szCs w:val="28"/>
              </w:rPr>
              <w:t>/</w:t>
            </w:r>
            <w:r>
              <w:rPr>
                <w:rFonts w:hint="eastAsia"/>
                <w:sz w:val="28"/>
                <w:szCs w:val="28"/>
              </w:rPr>
              <w:t>德国中小企业技术中心的平台，并最终搭建萨洛生态园。</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60000</w:t>
            </w:r>
          </w:p>
        </w:tc>
        <w:tc>
          <w:tcPr>
            <w:tcW w:w="993" w:type="dxa"/>
            <w:vAlign w:val="center"/>
          </w:tcPr>
          <w:p>
            <w:pPr>
              <w:spacing w:line="360" w:lineRule="exact"/>
              <w:ind w:firstLine="0" w:firstLineChars="0"/>
              <w:rPr>
                <w:sz w:val="24"/>
                <w:szCs w:val="24"/>
              </w:rPr>
            </w:pPr>
            <w:r>
              <w:rPr>
                <w:sz w:val="24"/>
                <w:szCs w:val="24"/>
              </w:rPr>
              <w:t>60000</w:t>
            </w:r>
          </w:p>
        </w:tc>
        <w:tc>
          <w:tcPr>
            <w:tcW w:w="1275" w:type="dxa"/>
            <w:vAlign w:val="center"/>
          </w:tcPr>
          <w:p>
            <w:pPr>
              <w:spacing w:line="360" w:lineRule="exact"/>
              <w:ind w:firstLine="0" w:firstLineChars="0"/>
              <w:rPr>
                <w:sz w:val="28"/>
                <w:szCs w:val="28"/>
              </w:rPr>
            </w:pPr>
            <w:r>
              <w:rPr>
                <w:rFonts w:hint="eastAsia"/>
                <w:sz w:val="28"/>
                <w:szCs w:val="28"/>
              </w:rPr>
              <w:t>中德金属生态城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566" w:type="dxa"/>
            <w:vAlign w:val="center"/>
          </w:tcPr>
          <w:p>
            <w:pPr>
              <w:spacing w:line="360" w:lineRule="exact"/>
              <w:ind w:firstLine="0" w:firstLineChars="0"/>
              <w:rPr>
                <w:sz w:val="28"/>
                <w:szCs w:val="28"/>
              </w:rPr>
            </w:pPr>
            <w:r>
              <w:rPr>
                <w:sz w:val="28"/>
                <w:szCs w:val="28"/>
              </w:rPr>
              <w:t>28</w:t>
            </w:r>
          </w:p>
        </w:tc>
        <w:tc>
          <w:tcPr>
            <w:tcW w:w="2235" w:type="dxa"/>
            <w:vAlign w:val="center"/>
          </w:tcPr>
          <w:p>
            <w:pPr>
              <w:spacing w:line="360" w:lineRule="exact"/>
              <w:ind w:firstLine="0" w:firstLineChars="0"/>
              <w:rPr>
                <w:sz w:val="28"/>
                <w:szCs w:val="28"/>
              </w:rPr>
            </w:pPr>
            <w:r>
              <w:rPr>
                <w:rFonts w:hint="eastAsia"/>
                <w:sz w:val="28"/>
                <w:szCs w:val="28"/>
              </w:rPr>
              <w:t>泰丰侨高品质活力社区项目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在原旧厂房用地建设一个功能集</w:t>
            </w:r>
            <w:r>
              <w:rPr>
                <w:sz w:val="28"/>
                <w:szCs w:val="28"/>
              </w:rPr>
              <w:t>:</w:t>
            </w:r>
            <w:r>
              <w:rPr>
                <w:rFonts w:hint="eastAsia"/>
                <w:sz w:val="28"/>
                <w:szCs w:val="28"/>
              </w:rPr>
              <w:t>住宅、商业街区、酒店、公寓、幼儿园等配套设施于一体的高品质活力社区</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138000</w:t>
            </w:r>
          </w:p>
        </w:tc>
        <w:tc>
          <w:tcPr>
            <w:tcW w:w="993" w:type="dxa"/>
            <w:vAlign w:val="center"/>
          </w:tcPr>
          <w:p>
            <w:pPr>
              <w:spacing w:line="360" w:lineRule="exact"/>
              <w:ind w:firstLine="0" w:firstLineChars="0"/>
              <w:rPr>
                <w:sz w:val="24"/>
                <w:szCs w:val="24"/>
              </w:rPr>
            </w:pPr>
            <w:r>
              <w:rPr>
                <w:sz w:val="24"/>
                <w:szCs w:val="24"/>
              </w:rPr>
              <w:t>138000</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2</w:t>
            </w:r>
            <w:r>
              <w:rPr>
                <w:sz w:val="28"/>
                <w:szCs w:val="28"/>
              </w:rPr>
              <w:t>9</w:t>
            </w:r>
          </w:p>
        </w:tc>
        <w:tc>
          <w:tcPr>
            <w:tcW w:w="2235" w:type="dxa"/>
            <w:vAlign w:val="center"/>
          </w:tcPr>
          <w:p>
            <w:pPr>
              <w:spacing w:line="360" w:lineRule="exact"/>
              <w:ind w:firstLine="0" w:firstLineChars="0"/>
              <w:rPr>
                <w:sz w:val="28"/>
                <w:szCs w:val="28"/>
              </w:rPr>
            </w:pPr>
            <w:r>
              <w:rPr>
                <w:rFonts w:hint="eastAsia"/>
                <w:sz w:val="28"/>
                <w:szCs w:val="28"/>
              </w:rPr>
              <w:t>韵达粤东（揭阳）快递电商总部基地项目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项目占地</w:t>
            </w:r>
            <w:r>
              <w:rPr>
                <w:sz w:val="28"/>
                <w:szCs w:val="28"/>
              </w:rPr>
              <w:t>100</w:t>
            </w:r>
            <w:r>
              <w:rPr>
                <w:rFonts w:hint="eastAsia"/>
                <w:sz w:val="28"/>
                <w:szCs w:val="28"/>
              </w:rPr>
              <w:t>亩，总建筑面积约</w:t>
            </w:r>
            <w:r>
              <w:rPr>
                <w:sz w:val="28"/>
                <w:szCs w:val="28"/>
              </w:rPr>
              <w:t>14</w:t>
            </w:r>
            <w:r>
              <w:rPr>
                <w:rFonts w:hint="eastAsia"/>
                <w:sz w:val="28"/>
                <w:szCs w:val="28"/>
              </w:rPr>
              <w:t>万平方米，建设内容包括智能化分拣中心、智能云仓中心、电商中心、结算中心、大数据中心、综合办公楼及其他附属配套设施。</w:t>
            </w:r>
          </w:p>
        </w:tc>
        <w:tc>
          <w:tcPr>
            <w:tcW w:w="870" w:type="dxa"/>
            <w:vAlign w:val="center"/>
          </w:tcPr>
          <w:p>
            <w:pPr>
              <w:spacing w:line="360" w:lineRule="exact"/>
              <w:ind w:firstLine="0" w:firstLineChars="0"/>
              <w:rPr>
                <w:sz w:val="24"/>
                <w:szCs w:val="24"/>
              </w:rPr>
            </w:pPr>
            <w:r>
              <w:rPr>
                <w:sz w:val="24"/>
                <w:szCs w:val="24"/>
              </w:rPr>
              <w:t>2019-2022</w:t>
            </w:r>
          </w:p>
        </w:tc>
        <w:tc>
          <w:tcPr>
            <w:tcW w:w="1127" w:type="dxa"/>
            <w:vAlign w:val="center"/>
          </w:tcPr>
          <w:p>
            <w:pPr>
              <w:spacing w:line="360" w:lineRule="exact"/>
              <w:ind w:firstLine="0" w:firstLineChars="0"/>
              <w:rPr>
                <w:sz w:val="24"/>
                <w:szCs w:val="24"/>
              </w:rPr>
            </w:pPr>
            <w:r>
              <w:rPr>
                <w:sz w:val="24"/>
                <w:szCs w:val="24"/>
              </w:rPr>
              <w:t>60000</w:t>
            </w:r>
          </w:p>
        </w:tc>
        <w:tc>
          <w:tcPr>
            <w:tcW w:w="993" w:type="dxa"/>
            <w:vAlign w:val="center"/>
          </w:tcPr>
          <w:p>
            <w:pPr>
              <w:spacing w:line="360" w:lineRule="exact"/>
              <w:ind w:firstLine="0" w:firstLineChars="0"/>
              <w:rPr>
                <w:sz w:val="24"/>
                <w:szCs w:val="24"/>
              </w:rPr>
            </w:pPr>
            <w:r>
              <w:rPr>
                <w:sz w:val="24"/>
                <w:szCs w:val="24"/>
              </w:rPr>
              <w:t>47000</w:t>
            </w:r>
          </w:p>
        </w:tc>
        <w:tc>
          <w:tcPr>
            <w:tcW w:w="1275" w:type="dxa"/>
            <w:vAlign w:val="center"/>
          </w:tcPr>
          <w:p>
            <w:pPr>
              <w:spacing w:line="360" w:lineRule="exact"/>
              <w:ind w:firstLine="0" w:firstLineChars="0"/>
              <w:rPr>
                <w:sz w:val="28"/>
                <w:szCs w:val="28"/>
              </w:rPr>
            </w:pPr>
            <w:r>
              <w:rPr>
                <w:rFonts w:hint="eastAsia"/>
                <w:sz w:val="28"/>
                <w:szCs w:val="28"/>
              </w:rPr>
              <w:t>新亨镇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0</w:t>
            </w:r>
          </w:p>
        </w:tc>
        <w:tc>
          <w:tcPr>
            <w:tcW w:w="2235" w:type="dxa"/>
            <w:vAlign w:val="center"/>
          </w:tcPr>
          <w:p>
            <w:pPr>
              <w:spacing w:line="360" w:lineRule="exact"/>
              <w:ind w:firstLine="0" w:firstLineChars="0"/>
              <w:rPr>
                <w:sz w:val="28"/>
                <w:szCs w:val="28"/>
              </w:rPr>
            </w:pPr>
            <w:r>
              <w:rPr>
                <w:rFonts w:hint="eastAsia"/>
                <w:sz w:val="28"/>
                <w:szCs w:val="28"/>
              </w:rPr>
              <w:t>中通快递西岗物流城项目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建设大型物流仓储中心、分拣中心。</w:t>
            </w:r>
          </w:p>
        </w:tc>
        <w:tc>
          <w:tcPr>
            <w:tcW w:w="870" w:type="dxa"/>
            <w:vAlign w:val="center"/>
          </w:tcPr>
          <w:p>
            <w:pPr>
              <w:spacing w:line="360" w:lineRule="exact"/>
              <w:ind w:firstLine="0" w:firstLineChars="0"/>
              <w:rPr>
                <w:sz w:val="24"/>
                <w:szCs w:val="24"/>
              </w:rPr>
            </w:pPr>
            <w:r>
              <w:rPr>
                <w:sz w:val="24"/>
                <w:szCs w:val="24"/>
              </w:rPr>
              <w:t>2020-2022</w:t>
            </w:r>
          </w:p>
        </w:tc>
        <w:tc>
          <w:tcPr>
            <w:tcW w:w="1127" w:type="dxa"/>
            <w:vAlign w:val="center"/>
          </w:tcPr>
          <w:p>
            <w:pPr>
              <w:spacing w:line="360" w:lineRule="exact"/>
              <w:ind w:firstLine="0" w:firstLineChars="0"/>
              <w:rPr>
                <w:sz w:val="24"/>
                <w:szCs w:val="24"/>
              </w:rPr>
            </w:pPr>
            <w:r>
              <w:rPr>
                <w:sz w:val="24"/>
                <w:szCs w:val="24"/>
              </w:rPr>
              <w:t>21000</w:t>
            </w:r>
          </w:p>
        </w:tc>
        <w:tc>
          <w:tcPr>
            <w:tcW w:w="993" w:type="dxa"/>
            <w:vAlign w:val="center"/>
          </w:tcPr>
          <w:p>
            <w:pPr>
              <w:spacing w:line="360" w:lineRule="exact"/>
              <w:ind w:firstLine="0" w:firstLineChars="0"/>
              <w:rPr>
                <w:sz w:val="24"/>
                <w:szCs w:val="24"/>
              </w:rPr>
            </w:pPr>
            <w:r>
              <w:rPr>
                <w:sz w:val="24"/>
                <w:szCs w:val="24"/>
              </w:rPr>
              <w:t>14000</w:t>
            </w:r>
          </w:p>
        </w:tc>
        <w:tc>
          <w:tcPr>
            <w:tcW w:w="1275" w:type="dxa"/>
            <w:vAlign w:val="center"/>
          </w:tcPr>
          <w:p>
            <w:pPr>
              <w:spacing w:line="360" w:lineRule="exact"/>
              <w:ind w:firstLine="0" w:firstLineChars="0"/>
              <w:rPr>
                <w:sz w:val="28"/>
                <w:szCs w:val="28"/>
              </w:rPr>
            </w:pPr>
            <w:r>
              <w:rPr>
                <w:rFonts w:hint="eastAsia"/>
                <w:sz w:val="28"/>
                <w:szCs w:val="28"/>
              </w:rPr>
              <w:t>新亨镇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1</w:t>
            </w:r>
          </w:p>
        </w:tc>
        <w:tc>
          <w:tcPr>
            <w:tcW w:w="2235" w:type="dxa"/>
            <w:vAlign w:val="center"/>
          </w:tcPr>
          <w:p>
            <w:pPr>
              <w:spacing w:line="360" w:lineRule="exact"/>
              <w:ind w:firstLine="0" w:firstLineChars="0"/>
              <w:rPr>
                <w:sz w:val="28"/>
                <w:szCs w:val="28"/>
              </w:rPr>
            </w:pPr>
            <w:r>
              <w:rPr>
                <w:rFonts w:hint="eastAsia"/>
                <w:sz w:val="28"/>
                <w:szCs w:val="28"/>
              </w:rPr>
              <w:t>极兔速递潮汕中心项目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项目拟选址揭阳市揭东区新亨镇，公司计划依托揭阳市的地理优势和交通优势，按照“统一、开放、竞争、有序”的现代市场机制，建设极兔速递潮汕中心和仓储物流服务中心项目。本项目占地面积约</w:t>
            </w:r>
            <w:r>
              <w:rPr>
                <w:sz w:val="28"/>
                <w:szCs w:val="28"/>
              </w:rPr>
              <w:t>300</w:t>
            </w:r>
            <w:r>
              <w:rPr>
                <w:rFonts w:hint="eastAsia"/>
                <w:sz w:val="28"/>
                <w:szCs w:val="28"/>
              </w:rPr>
              <w:t>亩，规划总建筑面积</w:t>
            </w:r>
            <w:r>
              <w:rPr>
                <w:sz w:val="28"/>
                <w:szCs w:val="28"/>
              </w:rPr>
              <w:t>13</w:t>
            </w:r>
            <w:r>
              <w:rPr>
                <w:rFonts w:hint="eastAsia"/>
                <w:sz w:val="28"/>
                <w:szCs w:val="28"/>
              </w:rPr>
              <w:t>万平方米，其中办公塔楼</w:t>
            </w:r>
            <w:r>
              <w:rPr>
                <w:sz w:val="28"/>
                <w:szCs w:val="28"/>
              </w:rPr>
              <w:t>1</w:t>
            </w:r>
            <w:r>
              <w:rPr>
                <w:rFonts w:hint="eastAsia"/>
                <w:sz w:val="28"/>
                <w:szCs w:val="28"/>
              </w:rPr>
              <w:t>万平方米、分拣中心</w:t>
            </w:r>
            <w:r>
              <w:rPr>
                <w:sz w:val="28"/>
                <w:szCs w:val="28"/>
              </w:rPr>
              <w:t>5</w:t>
            </w:r>
            <w:r>
              <w:rPr>
                <w:rFonts w:hint="eastAsia"/>
                <w:sz w:val="28"/>
                <w:szCs w:val="28"/>
              </w:rPr>
              <w:t>万平方米、仓储服务中心</w:t>
            </w:r>
            <w:r>
              <w:rPr>
                <w:sz w:val="28"/>
                <w:szCs w:val="28"/>
              </w:rPr>
              <w:t>5</w:t>
            </w:r>
            <w:r>
              <w:rPr>
                <w:rFonts w:hint="eastAsia"/>
                <w:sz w:val="28"/>
                <w:szCs w:val="28"/>
              </w:rPr>
              <w:t>万平方米、生活区等</w:t>
            </w:r>
            <w:r>
              <w:rPr>
                <w:sz w:val="28"/>
                <w:szCs w:val="28"/>
              </w:rPr>
              <w:t>2</w:t>
            </w:r>
            <w:r>
              <w:rPr>
                <w:rFonts w:hint="eastAsia"/>
                <w:sz w:val="28"/>
                <w:szCs w:val="28"/>
              </w:rPr>
              <w:t>万平方米。中心将成为集物流贸易、互联网科技、仓储服务、运输中转于一体的现代物流园区。项目可直接带动</w:t>
            </w:r>
            <w:r>
              <w:rPr>
                <w:sz w:val="28"/>
                <w:szCs w:val="28"/>
              </w:rPr>
              <w:t>10000</w:t>
            </w:r>
            <w:r>
              <w:rPr>
                <w:rFonts w:hint="eastAsia"/>
                <w:sz w:val="28"/>
                <w:szCs w:val="28"/>
              </w:rPr>
              <w:t>余人就业。</w:t>
            </w:r>
          </w:p>
        </w:tc>
        <w:tc>
          <w:tcPr>
            <w:tcW w:w="870" w:type="dxa"/>
            <w:vAlign w:val="center"/>
          </w:tcPr>
          <w:p>
            <w:pPr>
              <w:spacing w:line="360" w:lineRule="exact"/>
              <w:ind w:firstLine="0" w:firstLineChars="0"/>
              <w:rPr>
                <w:sz w:val="24"/>
                <w:szCs w:val="24"/>
              </w:rPr>
            </w:pPr>
            <w:r>
              <w:rPr>
                <w:sz w:val="24"/>
                <w:szCs w:val="24"/>
              </w:rPr>
              <w:t>2022-2025</w:t>
            </w:r>
          </w:p>
        </w:tc>
        <w:tc>
          <w:tcPr>
            <w:tcW w:w="1127" w:type="dxa"/>
            <w:vAlign w:val="center"/>
          </w:tcPr>
          <w:p>
            <w:pPr>
              <w:spacing w:line="360" w:lineRule="exact"/>
              <w:ind w:firstLine="0" w:firstLineChars="0"/>
              <w:rPr>
                <w:sz w:val="24"/>
                <w:szCs w:val="24"/>
              </w:rPr>
            </w:pPr>
            <w:r>
              <w:rPr>
                <w:sz w:val="24"/>
                <w:szCs w:val="24"/>
              </w:rPr>
              <w:t>80000</w:t>
            </w:r>
          </w:p>
        </w:tc>
        <w:tc>
          <w:tcPr>
            <w:tcW w:w="993" w:type="dxa"/>
            <w:vAlign w:val="center"/>
          </w:tcPr>
          <w:p>
            <w:pPr>
              <w:spacing w:line="360" w:lineRule="exact"/>
              <w:ind w:firstLine="0" w:firstLineChars="0"/>
              <w:rPr>
                <w:sz w:val="24"/>
                <w:szCs w:val="24"/>
              </w:rPr>
            </w:pPr>
            <w:r>
              <w:rPr>
                <w:sz w:val="24"/>
                <w:szCs w:val="24"/>
              </w:rPr>
              <w:t>80000</w:t>
            </w:r>
          </w:p>
        </w:tc>
        <w:tc>
          <w:tcPr>
            <w:tcW w:w="1275" w:type="dxa"/>
            <w:vAlign w:val="center"/>
          </w:tcPr>
          <w:p>
            <w:pPr>
              <w:spacing w:line="360" w:lineRule="exact"/>
              <w:ind w:firstLine="0" w:firstLineChars="0"/>
              <w:rPr>
                <w:sz w:val="28"/>
                <w:szCs w:val="28"/>
              </w:rPr>
            </w:pPr>
            <w:r>
              <w:rPr>
                <w:rFonts w:hint="eastAsia"/>
                <w:sz w:val="28"/>
                <w:szCs w:val="28"/>
              </w:rPr>
              <w:t>新亨镇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2</w:t>
            </w:r>
          </w:p>
        </w:tc>
        <w:tc>
          <w:tcPr>
            <w:tcW w:w="2235" w:type="dxa"/>
            <w:vAlign w:val="center"/>
          </w:tcPr>
          <w:p>
            <w:pPr>
              <w:spacing w:line="360" w:lineRule="exact"/>
              <w:ind w:firstLine="0" w:firstLineChars="0"/>
              <w:rPr>
                <w:sz w:val="28"/>
                <w:szCs w:val="28"/>
              </w:rPr>
            </w:pPr>
            <w:r>
              <w:rPr>
                <w:sz w:val="28"/>
                <w:szCs w:val="28"/>
              </w:rPr>
              <w:t>ESR</w:t>
            </w:r>
            <w:r>
              <w:rPr>
                <w:rFonts w:hint="eastAsia"/>
                <w:sz w:val="28"/>
                <w:szCs w:val="28"/>
              </w:rPr>
              <w:t>易商集团粤东电商物流总部基地</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00" w:lineRule="exact"/>
              <w:ind w:firstLine="0" w:firstLineChars="0"/>
              <w:rPr>
                <w:sz w:val="28"/>
                <w:szCs w:val="28"/>
              </w:rPr>
            </w:pPr>
            <w:r>
              <w:rPr>
                <w:rFonts w:hint="eastAsia"/>
                <w:sz w:val="28"/>
                <w:szCs w:val="28"/>
              </w:rPr>
              <w:t>项目占地</w:t>
            </w:r>
            <w:r>
              <w:rPr>
                <w:sz w:val="28"/>
                <w:szCs w:val="28"/>
              </w:rPr>
              <w:t>133.5</w:t>
            </w:r>
            <w:r>
              <w:rPr>
                <w:rFonts w:hint="eastAsia"/>
                <w:sz w:val="28"/>
                <w:szCs w:val="28"/>
              </w:rPr>
              <w:t>亩。拟建成辐射粤东地区的集电商物流、生鲜冷链、医药物流、生产支持配套物流、综合金融配套服务等多功能为一体的电商物流总部基地。</w:t>
            </w:r>
          </w:p>
        </w:tc>
        <w:tc>
          <w:tcPr>
            <w:tcW w:w="870" w:type="dxa"/>
            <w:vAlign w:val="center"/>
          </w:tcPr>
          <w:p>
            <w:pPr>
              <w:spacing w:line="360" w:lineRule="exact"/>
              <w:ind w:firstLine="0" w:firstLineChars="0"/>
              <w:rPr>
                <w:sz w:val="24"/>
                <w:szCs w:val="24"/>
              </w:rPr>
            </w:pPr>
            <w:r>
              <w:rPr>
                <w:sz w:val="24"/>
                <w:szCs w:val="24"/>
              </w:rPr>
              <w:t>2019-2022</w:t>
            </w:r>
          </w:p>
        </w:tc>
        <w:tc>
          <w:tcPr>
            <w:tcW w:w="1127" w:type="dxa"/>
            <w:vAlign w:val="center"/>
          </w:tcPr>
          <w:p>
            <w:pPr>
              <w:spacing w:line="360" w:lineRule="exact"/>
              <w:ind w:firstLine="0" w:firstLineChars="0"/>
              <w:rPr>
                <w:sz w:val="24"/>
                <w:szCs w:val="24"/>
              </w:rPr>
            </w:pPr>
            <w:r>
              <w:rPr>
                <w:sz w:val="24"/>
                <w:szCs w:val="24"/>
              </w:rPr>
              <w:t>33378</w:t>
            </w:r>
          </w:p>
        </w:tc>
        <w:tc>
          <w:tcPr>
            <w:tcW w:w="993" w:type="dxa"/>
            <w:vAlign w:val="center"/>
          </w:tcPr>
          <w:p>
            <w:pPr>
              <w:spacing w:line="360" w:lineRule="exact"/>
              <w:ind w:firstLine="0" w:firstLineChars="0"/>
              <w:rPr>
                <w:sz w:val="24"/>
                <w:szCs w:val="24"/>
              </w:rPr>
            </w:pPr>
            <w:r>
              <w:rPr>
                <w:sz w:val="24"/>
                <w:szCs w:val="24"/>
              </w:rPr>
              <w:t>18378</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3</w:t>
            </w:r>
          </w:p>
        </w:tc>
        <w:tc>
          <w:tcPr>
            <w:tcW w:w="2235" w:type="dxa"/>
            <w:vAlign w:val="center"/>
          </w:tcPr>
          <w:p>
            <w:pPr>
              <w:spacing w:line="360" w:lineRule="exact"/>
              <w:ind w:firstLine="0" w:firstLineChars="0"/>
              <w:rPr>
                <w:sz w:val="28"/>
                <w:szCs w:val="28"/>
              </w:rPr>
            </w:pPr>
            <w:r>
              <w:rPr>
                <w:rFonts w:hint="eastAsia"/>
                <w:sz w:val="28"/>
                <w:szCs w:val="28"/>
              </w:rPr>
              <w:t>丰登（揭阳）物流园发展项目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00" w:lineRule="exact"/>
              <w:ind w:firstLine="0" w:firstLineChars="0"/>
              <w:rPr>
                <w:sz w:val="28"/>
                <w:szCs w:val="28"/>
              </w:rPr>
            </w:pPr>
            <w:r>
              <w:rPr>
                <w:rFonts w:hint="eastAsia"/>
                <w:sz w:val="28"/>
                <w:szCs w:val="28"/>
              </w:rPr>
              <w:t>项目拟用地</w:t>
            </w:r>
            <w:r>
              <w:rPr>
                <w:sz w:val="28"/>
                <w:szCs w:val="28"/>
              </w:rPr>
              <w:t>103</w:t>
            </w:r>
            <w:r>
              <w:rPr>
                <w:rFonts w:hint="eastAsia"/>
                <w:sz w:val="28"/>
                <w:szCs w:val="28"/>
              </w:rPr>
              <w:t>亩，以双层设计为主，总建筑面积预计超过</w:t>
            </w:r>
            <w:r>
              <w:rPr>
                <w:sz w:val="28"/>
                <w:szCs w:val="28"/>
              </w:rPr>
              <w:t>8</w:t>
            </w:r>
            <w:r>
              <w:rPr>
                <w:rFonts w:hint="eastAsia"/>
                <w:sz w:val="28"/>
                <w:szCs w:val="28"/>
              </w:rPr>
              <w:t>万平米，将按照现代化，硬件智能化，管理信息化的要求打造园区。主要按照以下三个功能区建设：电商服务、大型供应链基地、区域冷链分拨中心。</w:t>
            </w:r>
          </w:p>
        </w:tc>
        <w:tc>
          <w:tcPr>
            <w:tcW w:w="870" w:type="dxa"/>
            <w:vAlign w:val="center"/>
          </w:tcPr>
          <w:p>
            <w:pPr>
              <w:spacing w:line="360" w:lineRule="exact"/>
              <w:ind w:firstLine="0" w:firstLineChars="0"/>
              <w:rPr>
                <w:sz w:val="24"/>
                <w:szCs w:val="24"/>
              </w:rPr>
            </w:pPr>
            <w:r>
              <w:rPr>
                <w:sz w:val="24"/>
                <w:szCs w:val="24"/>
              </w:rPr>
              <w:t>2021-2022</w:t>
            </w:r>
          </w:p>
        </w:tc>
        <w:tc>
          <w:tcPr>
            <w:tcW w:w="1127" w:type="dxa"/>
            <w:vAlign w:val="center"/>
          </w:tcPr>
          <w:p>
            <w:pPr>
              <w:spacing w:line="360" w:lineRule="exact"/>
              <w:ind w:firstLine="0" w:firstLineChars="0"/>
              <w:rPr>
                <w:sz w:val="24"/>
                <w:szCs w:val="24"/>
              </w:rPr>
            </w:pPr>
            <w:r>
              <w:rPr>
                <w:sz w:val="24"/>
                <w:szCs w:val="24"/>
              </w:rPr>
              <w:t>26000</w:t>
            </w:r>
          </w:p>
        </w:tc>
        <w:tc>
          <w:tcPr>
            <w:tcW w:w="993" w:type="dxa"/>
            <w:vAlign w:val="center"/>
          </w:tcPr>
          <w:p>
            <w:pPr>
              <w:spacing w:line="360" w:lineRule="exact"/>
              <w:ind w:firstLine="0" w:firstLineChars="0"/>
              <w:rPr>
                <w:sz w:val="24"/>
                <w:szCs w:val="24"/>
              </w:rPr>
            </w:pPr>
            <w:r>
              <w:rPr>
                <w:sz w:val="24"/>
                <w:szCs w:val="24"/>
              </w:rPr>
              <w:t>26000</w:t>
            </w:r>
          </w:p>
        </w:tc>
        <w:tc>
          <w:tcPr>
            <w:tcW w:w="1275" w:type="dxa"/>
            <w:vAlign w:val="center"/>
          </w:tcPr>
          <w:p>
            <w:pPr>
              <w:spacing w:line="360" w:lineRule="exact"/>
              <w:ind w:firstLine="0" w:firstLineChars="0"/>
              <w:rPr>
                <w:sz w:val="28"/>
                <w:szCs w:val="28"/>
              </w:rPr>
            </w:pPr>
            <w:r>
              <w:rPr>
                <w:rFonts w:hint="eastAsia"/>
                <w:sz w:val="28"/>
                <w:szCs w:val="28"/>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4</w:t>
            </w:r>
          </w:p>
        </w:tc>
        <w:tc>
          <w:tcPr>
            <w:tcW w:w="2235" w:type="dxa"/>
            <w:vAlign w:val="center"/>
          </w:tcPr>
          <w:p>
            <w:pPr>
              <w:spacing w:line="360" w:lineRule="exact"/>
              <w:ind w:firstLine="0" w:firstLineChars="0"/>
              <w:rPr>
                <w:sz w:val="28"/>
                <w:szCs w:val="28"/>
              </w:rPr>
            </w:pPr>
            <w:r>
              <w:rPr>
                <w:rFonts w:hint="eastAsia"/>
                <w:sz w:val="28"/>
                <w:szCs w:val="28"/>
              </w:rPr>
              <w:t>揭阳市望家欢美谷餐饮供应链有限公司</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00" w:lineRule="exact"/>
              <w:ind w:firstLine="0" w:firstLineChars="0"/>
              <w:rPr>
                <w:sz w:val="28"/>
                <w:szCs w:val="28"/>
              </w:rPr>
            </w:pPr>
            <w:r>
              <w:rPr>
                <w:rFonts w:hint="eastAsia"/>
                <w:sz w:val="28"/>
                <w:szCs w:val="28"/>
              </w:rPr>
              <w:t>在埔田镇南湖村建设餐饮供应链，主要从事鲜蔬、食材供应配送。</w:t>
            </w:r>
          </w:p>
        </w:tc>
        <w:tc>
          <w:tcPr>
            <w:tcW w:w="870" w:type="dxa"/>
            <w:vAlign w:val="center"/>
          </w:tcPr>
          <w:p>
            <w:pPr>
              <w:spacing w:line="360" w:lineRule="exact"/>
              <w:ind w:firstLine="0" w:firstLineChars="0"/>
              <w:rPr>
                <w:sz w:val="24"/>
                <w:szCs w:val="24"/>
              </w:rPr>
            </w:pPr>
            <w:r>
              <w:rPr>
                <w:sz w:val="24"/>
                <w:szCs w:val="24"/>
              </w:rPr>
              <w:t>2021</w:t>
            </w:r>
          </w:p>
        </w:tc>
        <w:tc>
          <w:tcPr>
            <w:tcW w:w="1127" w:type="dxa"/>
            <w:vAlign w:val="center"/>
          </w:tcPr>
          <w:p>
            <w:pPr>
              <w:spacing w:line="360" w:lineRule="exact"/>
              <w:ind w:firstLine="0" w:firstLineChars="0"/>
              <w:rPr>
                <w:sz w:val="24"/>
                <w:szCs w:val="24"/>
              </w:rPr>
            </w:pPr>
            <w:r>
              <w:rPr>
                <w:sz w:val="24"/>
                <w:szCs w:val="24"/>
              </w:rPr>
              <w:t>8700</w:t>
            </w:r>
          </w:p>
        </w:tc>
        <w:tc>
          <w:tcPr>
            <w:tcW w:w="993" w:type="dxa"/>
            <w:vAlign w:val="center"/>
          </w:tcPr>
          <w:p>
            <w:pPr>
              <w:spacing w:line="360" w:lineRule="exact"/>
              <w:ind w:firstLine="0" w:firstLineChars="0"/>
              <w:rPr>
                <w:sz w:val="24"/>
                <w:szCs w:val="24"/>
              </w:rPr>
            </w:pPr>
            <w:r>
              <w:rPr>
                <w:sz w:val="24"/>
                <w:szCs w:val="24"/>
              </w:rPr>
              <w:t>8700</w:t>
            </w:r>
          </w:p>
        </w:tc>
        <w:tc>
          <w:tcPr>
            <w:tcW w:w="1275" w:type="dxa"/>
            <w:vAlign w:val="center"/>
          </w:tcPr>
          <w:p>
            <w:pPr>
              <w:spacing w:line="360" w:lineRule="exact"/>
              <w:ind w:firstLine="0" w:firstLineChars="0"/>
              <w:rPr>
                <w:sz w:val="28"/>
                <w:szCs w:val="28"/>
              </w:rPr>
            </w:pPr>
            <w:r>
              <w:rPr>
                <w:rFonts w:hint="eastAsia"/>
                <w:sz w:val="28"/>
                <w:szCs w:val="28"/>
              </w:rPr>
              <w:t>埔田镇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5</w:t>
            </w:r>
          </w:p>
        </w:tc>
        <w:tc>
          <w:tcPr>
            <w:tcW w:w="2235" w:type="dxa"/>
            <w:vAlign w:val="center"/>
          </w:tcPr>
          <w:p>
            <w:pPr>
              <w:spacing w:line="320" w:lineRule="exact"/>
              <w:ind w:firstLine="0" w:firstLineChars="0"/>
              <w:rPr>
                <w:sz w:val="28"/>
                <w:szCs w:val="28"/>
              </w:rPr>
            </w:pPr>
            <w:r>
              <w:rPr>
                <w:rFonts w:hint="eastAsia"/>
                <w:sz w:val="28"/>
                <w:szCs w:val="28"/>
              </w:rPr>
              <w:t>粤东邮件处理中心</w:t>
            </w:r>
          </w:p>
        </w:tc>
        <w:tc>
          <w:tcPr>
            <w:tcW w:w="885" w:type="dxa"/>
            <w:vAlign w:val="center"/>
          </w:tcPr>
          <w:p>
            <w:pPr>
              <w:spacing w:line="320" w:lineRule="exact"/>
              <w:ind w:firstLine="0" w:firstLineChars="0"/>
              <w:jc w:val="center"/>
              <w:rPr>
                <w:sz w:val="28"/>
                <w:szCs w:val="28"/>
              </w:rPr>
            </w:pPr>
            <w:r>
              <w:rPr>
                <w:rFonts w:hint="eastAsia"/>
                <w:sz w:val="28"/>
                <w:szCs w:val="28"/>
              </w:rPr>
              <w:t>新开工</w:t>
            </w:r>
          </w:p>
        </w:tc>
        <w:tc>
          <w:tcPr>
            <w:tcW w:w="6508" w:type="dxa"/>
            <w:vAlign w:val="center"/>
          </w:tcPr>
          <w:p>
            <w:pPr>
              <w:spacing w:line="300" w:lineRule="exact"/>
              <w:ind w:firstLine="0" w:firstLineChars="0"/>
              <w:rPr>
                <w:sz w:val="28"/>
                <w:szCs w:val="28"/>
              </w:rPr>
            </w:pPr>
            <w:r>
              <w:rPr>
                <w:rFonts w:hint="eastAsia"/>
                <w:sz w:val="28"/>
                <w:szCs w:val="28"/>
              </w:rPr>
              <w:t>项目拟征地1</w:t>
            </w:r>
            <w:r>
              <w:rPr>
                <w:sz w:val="28"/>
                <w:szCs w:val="28"/>
              </w:rPr>
              <w:t>50</w:t>
            </w:r>
            <w:r>
              <w:rPr>
                <w:rFonts w:hint="eastAsia"/>
                <w:sz w:val="28"/>
                <w:szCs w:val="28"/>
              </w:rPr>
              <w:t>—</w:t>
            </w:r>
            <w:r>
              <w:rPr>
                <w:sz w:val="28"/>
                <w:szCs w:val="28"/>
              </w:rPr>
              <w:t>200</w:t>
            </w:r>
            <w:r>
              <w:rPr>
                <w:rFonts w:hint="eastAsia"/>
                <w:sz w:val="28"/>
                <w:szCs w:val="28"/>
              </w:rPr>
              <w:t>亩、配备智能化设备、设计处理能力</w:t>
            </w:r>
            <w:r>
              <w:rPr>
                <w:sz w:val="28"/>
                <w:szCs w:val="28"/>
              </w:rPr>
              <w:t>500</w:t>
            </w:r>
            <w:r>
              <w:rPr>
                <w:rFonts w:hint="eastAsia"/>
                <w:sz w:val="28"/>
                <w:szCs w:val="28"/>
              </w:rPr>
              <w:t>万件</w:t>
            </w:r>
            <w:r>
              <w:rPr>
                <w:sz w:val="28"/>
                <w:szCs w:val="28"/>
              </w:rPr>
              <w:t>/</w:t>
            </w:r>
            <w:r>
              <w:rPr>
                <w:rFonts w:hint="eastAsia"/>
                <w:sz w:val="28"/>
                <w:szCs w:val="28"/>
              </w:rPr>
              <w:t>天</w:t>
            </w:r>
          </w:p>
        </w:tc>
        <w:tc>
          <w:tcPr>
            <w:tcW w:w="870" w:type="dxa"/>
            <w:vAlign w:val="center"/>
          </w:tcPr>
          <w:p>
            <w:pPr>
              <w:spacing w:line="320" w:lineRule="exact"/>
              <w:ind w:firstLine="0" w:firstLineChars="0"/>
              <w:rPr>
                <w:sz w:val="24"/>
                <w:szCs w:val="24"/>
              </w:rPr>
            </w:pPr>
            <w:r>
              <w:rPr>
                <w:sz w:val="24"/>
                <w:szCs w:val="24"/>
              </w:rPr>
              <w:t>2023-2025</w:t>
            </w:r>
          </w:p>
        </w:tc>
        <w:tc>
          <w:tcPr>
            <w:tcW w:w="1127" w:type="dxa"/>
            <w:vAlign w:val="center"/>
          </w:tcPr>
          <w:p>
            <w:pPr>
              <w:spacing w:line="320" w:lineRule="exact"/>
              <w:ind w:firstLine="0" w:firstLineChars="0"/>
              <w:rPr>
                <w:sz w:val="24"/>
                <w:szCs w:val="24"/>
              </w:rPr>
            </w:pPr>
            <w:r>
              <w:rPr>
                <w:sz w:val="24"/>
                <w:szCs w:val="24"/>
              </w:rPr>
              <w:t>72000</w:t>
            </w:r>
          </w:p>
        </w:tc>
        <w:tc>
          <w:tcPr>
            <w:tcW w:w="993" w:type="dxa"/>
            <w:vAlign w:val="center"/>
          </w:tcPr>
          <w:p>
            <w:pPr>
              <w:spacing w:line="320" w:lineRule="exact"/>
              <w:ind w:firstLine="0" w:firstLineChars="0"/>
              <w:rPr>
                <w:sz w:val="24"/>
                <w:szCs w:val="24"/>
              </w:rPr>
            </w:pPr>
            <w:r>
              <w:rPr>
                <w:sz w:val="24"/>
                <w:szCs w:val="24"/>
              </w:rPr>
              <w:t>72000</w:t>
            </w:r>
          </w:p>
        </w:tc>
        <w:tc>
          <w:tcPr>
            <w:tcW w:w="1275" w:type="dxa"/>
            <w:vAlign w:val="center"/>
          </w:tcPr>
          <w:p>
            <w:pPr>
              <w:spacing w:line="320" w:lineRule="exact"/>
              <w:ind w:firstLine="0" w:firstLineChars="0"/>
              <w:rPr>
                <w:sz w:val="28"/>
                <w:szCs w:val="28"/>
              </w:rPr>
            </w:pPr>
            <w:r>
              <w:rPr>
                <w:rFonts w:hint="eastAsia"/>
                <w:sz w:val="28"/>
                <w:szCs w:val="28"/>
              </w:rPr>
              <w:t>中国邮政集团有限公司揭阳市分公司、区招商投资局（征地）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6</w:t>
            </w:r>
          </w:p>
        </w:tc>
        <w:tc>
          <w:tcPr>
            <w:tcW w:w="2235" w:type="dxa"/>
            <w:vAlign w:val="center"/>
          </w:tcPr>
          <w:p>
            <w:pPr>
              <w:spacing w:line="360" w:lineRule="exact"/>
              <w:ind w:firstLine="0" w:firstLineChars="0"/>
              <w:rPr>
                <w:sz w:val="28"/>
                <w:szCs w:val="28"/>
              </w:rPr>
            </w:pPr>
            <w:r>
              <w:rPr>
                <w:rFonts w:hint="eastAsia"/>
                <w:sz w:val="28"/>
                <w:szCs w:val="28"/>
              </w:rPr>
              <w:t>新亨镇电子商务园建设项目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建设电商批发、仓储、物流配送为一体的电商综合服务基地。</w:t>
            </w:r>
          </w:p>
        </w:tc>
        <w:tc>
          <w:tcPr>
            <w:tcW w:w="870" w:type="dxa"/>
            <w:vAlign w:val="center"/>
          </w:tcPr>
          <w:p>
            <w:pPr>
              <w:spacing w:line="360" w:lineRule="exact"/>
              <w:ind w:firstLine="0" w:firstLineChars="0"/>
              <w:rPr>
                <w:sz w:val="24"/>
                <w:szCs w:val="24"/>
              </w:rPr>
            </w:pPr>
            <w:r>
              <w:rPr>
                <w:sz w:val="24"/>
                <w:szCs w:val="24"/>
              </w:rPr>
              <w:t>2021</w:t>
            </w:r>
          </w:p>
        </w:tc>
        <w:tc>
          <w:tcPr>
            <w:tcW w:w="1127" w:type="dxa"/>
            <w:vAlign w:val="center"/>
          </w:tcPr>
          <w:p>
            <w:pPr>
              <w:spacing w:line="360" w:lineRule="exact"/>
              <w:ind w:firstLine="0" w:firstLineChars="0"/>
              <w:rPr>
                <w:sz w:val="24"/>
                <w:szCs w:val="24"/>
              </w:rPr>
            </w:pPr>
            <w:r>
              <w:rPr>
                <w:sz w:val="24"/>
                <w:szCs w:val="24"/>
              </w:rPr>
              <w:t>4850</w:t>
            </w:r>
          </w:p>
        </w:tc>
        <w:tc>
          <w:tcPr>
            <w:tcW w:w="993" w:type="dxa"/>
            <w:vAlign w:val="center"/>
          </w:tcPr>
          <w:p>
            <w:pPr>
              <w:spacing w:line="360" w:lineRule="exact"/>
              <w:ind w:firstLine="0" w:firstLineChars="0"/>
              <w:rPr>
                <w:sz w:val="24"/>
                <w:szCs w:val="24"/>
              </w:rPr>
            </w:pPr>
            <w:r>
              <w:rPr>
                <w:sz w:val="24"/>
                <w:szCs w:val="24"/>
              </w:rPr>
              <w:t>4850</w:t>
            </w:r>
          </w:p>
        </w:tc>
        <w:tc>
          <w:tcPr>
            <w:tcW w:w="1275" w:type="dxa"/>
            <w:vAlign w:val="center"/>
          </w:tcPr>
          <w:p>
            <w:pPr>
              <w:spacing w:line="360" w:lineRule="exact"/>
              <w:ind w:firstLine="0" w:firstLineChars="0"/>
              <w:rPr>
                <w:sz w:val="28"/>
                <w:szCs w:val="28"/>
              </w:rPr>
            </w:pPr>
            <w:r>
              <w:rPr>
                <w:rFonts w:hint="eastAsia"/>
                <w:sz w:val="28"/>
                <w:szCs w:val="28"/>
              </w:rPr>
              <w:t>新亨镇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7</w:t>
            </w:r>
          </w:p>
        </w:tc>
        <w:tc>
          <w:tcPr>
            <w:tcW w:w="2235" w:type="dxa"/>
            <w:vAlign w:val="center"/>
          </w:tcPr>
          <w:p>
            <w:pPr>
              <w:spacing w:line="360" w:lineRule="exact"/>
              <w:ind w:firstLine="0" w:firstLineChars="0"/>
              <w:rPr>
                <w:sz w:val="28"/>
                <w:szCs w:val="28"/>
              </w:rPr>
            </w:pPr>
            <w:r>
              <w:rPr>
                <w:rFonts w:hint="eastAsia"/>
                <w:sz w:val="28"/>
                <w:szCs w:val="28"/>
              </w:rPr>
              <w:t>新亨镇硕和物流产业园建设项目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占地面积</w:t>
            </w:r>
            <w:r>
              <w:rPr>
                <w:sz w:val="28"/>
                <w:szCs w:val="28"/>
              </w:rPr>
              <w:t>250</w:t>
            </w:r>
            <w:r>
              <w:rPr>
                <w:rFonts w:hint="eastAsia"/>
                <w:sz w:val="28"/>
                <w:szCs w:val="28"/>
              </w:rPr>
              <w:t>亩，建设仓储、物流配送、加工、孵化器为一体的电商综合服务基地。</w:t>
            </w:r>
          </w:p>
        </w:tc>
        <w:tc>
          <w:tcPr>
            <w:tcW w:w="870" w:type="dxa"/>
            <w:vAlign w:val="center"/>
          </w:tcPr>
          <w:p>
            <w:pPr>
              <w:spacing w:line="360" w:lineRule="exact"/>
              <w:ind w:firstLine="0" w:firstLineChars="0"/>
              <w:rPr>
                <w:sz w:val="24"/>
                <w:szCs w:val="24"/>
              </w:rPr>
            </w:pPr>
            <w:r>
              <w:rPr>
                <w:sz w:val="24"/>
                <w:szCs w:val="24"/>
              </w:rPr>
              <w:t>2021</w:t>
            </w:r>
          </w:p>
        </w:tc>
        <w:tc>
          <w:tcPr>
            <w:tcW w:w="1127" w:type="dxa"/>
            <w:vAlign w:val="center"/>
          </w:tcPr>
          <w:p>
            <w:pPr>
              <w:spacing w:line="360" w:lineRule="exact"/>
              <w:ind w:firstLine="0" w:firstLineChars="0"/>
              <w:rPr>
                <w:sz w:val="24"/>
                <w:szCs w:val="24"/>
              </w:rPr>
            </w:pPr>
            <w:r>
              <w:rPr>
                <w:sz w:val="24"/>
                <w:szCs w:val="24"/>
              </w:rPr>
              <w:t>4560</w:t>
            </w:r>
          </w:p>
        </w:tc>
        <w:tc>
          <w:tcPr>
            <w:tcW w:w="993" w:type="dxa"/>
            <w:vAlign w:val="center"/>
          </w:tcPr>
          <w:p>
            <w:pPr>
              <w:spacing w:line="360" w:lineRule="exact"/>
              <w:ind w:firstLine="0" w:firstLineChars="0"/>
              <w:rPr>
                <w:sz w:val="24"/>
                <w:szCs w:val="24"/>
              </w:rPr>
            </w:pPr>
            <w:r>
              <w:rPr>
                <w:sz w:val="24"/>
                <w:szCs w:val="24"/>
              </w:rPr>
              <w:t>4560</w:t>
            </w:r>
          </w:p>
        </w:tc>
        <w:tc>
          <w:tcPr>
            <w:tcW w:w="1275" w:type="dxa"/>
            <w:vAlign w:val="center"/>
          </w:tcPr>
          <w:p>
            <w:pPr>
              <w:spacing w:line="360" w:lineRule="exact"/>
              <w:ind w:firstLine="0" w:firstLineChars="0"/>
              <w:rPr>
                <w:sz w:val="28"/>
                <w:szCs w:val="28"/>
              </w:rPr>
            </w:pPr>
            <w:r>
              <w:rPr>
                <w:rFonts w:hint="eastAsia"/>
                <w:sz w:val="28"/>
                <w:szCs w:val="28"/>
              </w:rPr>
              <w:t>新亨镇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8</w:t>
            </w:r>
          </w:p>
        </w:tc>
        <w:tc>
          <w:tcPr>
            <w:tcW w:w="2235" w:type="dxa"/>
            <w:vAlign w:val="center"/>
          </w:tcPr>
          <w:p>
            <w:pPr>
              <w:spacing w:line="360" w:lineRule="exact"/>
              <w:ind w:firstLine="0" w:firstLineChars="0"/>
              <w:rPr>
                <w:sz w:val="28"/>
                <w:szCs w:val="28"/>
              </w:rPr>
            </w:pPr>
            <w:r>
              <w:rPr>
                <w:rFonts w:hint="eastAsia"/>
                <w:sz w:val="28"/>
                <w:szCs w:val="28"/>
              </w:rPr>
              <w:t>广东省乐品营养餐配送服务公司</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项目占地面积</w:t>
            </w:r>
            <w:r>
              <w:rPr>
                <w:sz w:val="28"/>
                <w:szCs w:val="28"/>
              </w:rPr>
              <w:t>53000</w:t>
            </w:r>
            <w:r>
              <w:rPr>
                <w:rFonts w:hint="eastAsia"/>
                <w:sz w:val="28"/>
                <w:szCs w:val="28"/>
              </w:rPr>
              <w:t>平方米，新建办公楼</w:t>
            </w:r>
            <w:r>
              <w:rPr>
                <w:sz w:val="28"/>
                <w:szCs w:val="28"/>
              </w:rPr>
              <w:t>1</w:t>
            </w:r>
            <w:r>
              <w:rPr>
                <w:rFonts w:hint="eastAsia"/>
                <w:sz w:val="28"/>
                <w:szCs w:val="28"/>
              </w:rPr>
              <w:t>幢</w:t>
            </w:r>
            <w:r>
              <w:rPr>
                <w:sz w:val="28"/>
                <w:szCs w:val="28"/>
              </w:rPr>
              <w:t>4</w:t>
            </w:r>
            <w:r>
              <w:rPr>
                <w:rFonts w:hint="eastAsia"/>
                <w:sz w:val="28"/>
                <w:szCs w:val="28"/>
              </w:rPr>
              <w:t>层，占地面积</w:t>
            </w:r>
            <w:r>
              <w:rPr>
                <w:sz w:val="28"/>
                <w:szCs w:val="28"/>
              </w:rPr>
              <w:t>1500</w:t>
            </w:r>
            <w:r>
              <w:rPr>
                <w:rFonts w:hint="eastAsia"/>
                <w:sz w:val="28"/>
                <w:szCs w:val="28"/>
              </w:rPr>
              <w:t>平方米。新建厂房</w:t>
            </w:r>
            <w:r>
              <w:rPr>
                <w:sz w:val="28"/>
                <w:szCs w:val="28"/>
              </w:rPr>
              <w:t>1</w:t>
            </w:r>
            <w:r>
              <w:rPr>
                <w:rFonts w:hint="eastAsia"/>
                <w:sz w:val="28"/>
                <w:szCs w:val="28"/>
              </w:rPr>
              <w:t>幢，建筑面积</w:t>
            </w:r>
            <w:r>
              <w:rPr>
                <w:sz w:val="28"/>
                <w:szCs w:val="28"/>
              </w:rPr>
              <w:t>5800</w:t>
            </w:r>
            <w:r>
              <w:rPr>
                <w:rFonts w:hint="eastAsia"/>
                <w:sz w:val="28"/>
                <w:szCs w:val="28"/>
              </w:rPr>
              <w:t>平方米，从事学校食堂承包等业务，专注于学生营养餐制作，集学生营养餐研发、生产、配套为一体。</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8000</w:t>
            </w:r>
          </w:p>
        </w:tc>
        <w:tc>
          <w:tcPr>
            <w:tcW w:w="993" w:type="dxa"/>
            <w:vAlign w:val="center"/>
          </w:tcPr>
          <w:p>
            <w:pPr>
              <w:spacing w:line="360" w:lineRule="exact"/>
              <w:ind w:firstLine="0" w:firstLineChars="0"/>
              <w:rPr>
                <w:sz w:val="24"/>
                <w:szCs w:val="24"/>
              </w:rPr>
            </w:pPr>
            <w:r>
              <w:rPr>
                <w:sz w:val="24"/>
                <w:szCs w:val="24"/>
              </w:rPr>
              <w:t>8000</w:t>
            </w:r>
          </w:p>
        </w:tc>
        <w:tc>
          <w:tcPr>
            <w:tcW w:w="1275" w:type="dxa"/>
            <w:vAlign w:val="center"/>
          </w:tcPr>
          <w:p>
            <w:pPr>
              <w:spacing w:line="360" w:lineRule="exact"/>
              <w:ind w:firstLine="0" w:firstLineChars="0"/>
              <w:rPr>
                <w:sz w:val="28"/>
                <w:szCs w:val="28"/>
              </w:rPr>
            </w:pPr>
            <w:r>
              <w:rPr>
                <w:rFonts w:hint="eastAsia"/>
                <w:sz w:val="28"/>
                <w:szCs w:val="28"/>
              </w:rPr>
              <w:t>玉滘镇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6" w:type="dxa"/>
            <w:vAlign w:val="center"/>
          </w:tcPr>
          <w:p>
            <w:pPr>
              <w:spacing w:line="360" w:lineRule="exact"/>
              <w:ind w:firstLine="0" w:firstLineChars="0"/>
              <w:rPr>
                <w:sz w:val="28"/>
                <w:szCs w:val="28"/>
              </w:rPr>
            </w:pPr>
            <w:r>
              <w:rPr>
                <w:rFonts w:hint="eastAsia"/>
                <w:sz w:val="28"/>
                <w:szCs w:val="28"/>
              </w:rPr>
              <w:t>3</w:t>
            </w:r>
            <w:r>
              <w:rPr>
                <w:sz w:val="28"/>
                <w:szCs w:val="28"/>
              </w:rPr>
              <w:t>9</w:t>
            </w:r>
          </w:p>
        </w:tc>
        <w:tc>
          <w:tcPr>
            <w:tcW w:w="2235" w:type="dxa"/>
            <w:vAlign w:val="center"/>
          </w:tcPr>
          <w:p>
            <w:pPr>
              <w:spacing w:line="360" w:lineRule="exact"/>
              <w:ind w:firstLine="0" w:firstLineChars="0"/>
              <w:rPr>
                <w:sz w:val="28"/>
                <w:szCs w:val="28"/>
              </w:rPr>
            </w:pPr>
            <w:r>
              <w:rPr>
                <w:rFonts w:hint="eastAsia"/>
                <w:sz w:val="28"/>
                <w:szCs w:val="28"/>
              </w:rPr>
              <w:t>揭东区区域性敬老院建设项目</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rFonts w:hint="eastAsia"/>
                <w:sz w:val="28"/>
                <w:szCs w:val="28"/>
              </w:rPr>
              <w:t>项目占地面积约</w:t>
            </w:r>
            <w:r>
              <w:rPr>
                <w:sz w:val="28"/>
                <w:szCs w:val="28"/>
              </w:rPr>
              <w:t>30</w:t>
            </w:r>
            <w:r>
              <w:rPr>
                <w:rFonts w:hint="eastAsia"/>
                <w:sz w:val="28"/>
                <w:szCs w:val="28"/>
              </w:rPr>
              <w:t>亩，建设面积约</w:t>
            </w:r>
            <w:r>
              <w:rPr>
                <w:sz w:val="28"/>
                <w:szCs w:val="28"/>
              </w:rPr>
              <w:t>9000</w:t>
            </w:r>
            <w:r>
              <w:rPr>
                <w:rFonts w:hint="eastAsia"/>
                <w:sz w:val="28"/>
                <w:szCs w:val="28"/>
              </w:rPr>
              <w:t>平方米，建成后可接受</w:t>
            </w:r>
            <w:r>
              <w:rPr>
                <w:sz w:val="28"/>
                <w:szCs w:val="28"/>
              </w:rPr>
              <w:t>300</w:t>
            </w:r>
            <w:r>
              <w:rPr>
                <w:rFonts w:hint="eastAsia"/>
                <w:sz w:val="28"/>
                <w:szCs w:val="28"/>
              </w:rPr>
              <w:t>名需要安置的特定对象</w:t>
            </w:r>
          </w:p>
        </w:tc>
        <w:tc>
          <w:tcPr>
            <w:tcW w:w="870" w:type="dxa"/>
            <w:vAlign w:val="center"/>
          </w:tcPr>
          <w:p>
            <w:pPr>
              <w:spacing w:line="360" w:lineRule="exact"/>
              <w:ind w:firstLine="0" w:firstLineChars="0"/>
              <w:rPr>
                <w:sz w:val="24"/>
                <w:szCs w:val="24"/>
              </w:rPr>
            </w:pPr>
            <w:r>
              <w:rPr>
                <w:sz w:val="24"/>
                <w:szCs w:val="24"/>
              </w:rPr>
              <w:t>2021-2023</w:t>
            </w:r>
          </w:p>
        </w:tc>
        <w:tc>
          <w:tcPr>
            <w:tcW w:w="1127" w:type="dxa"/>
            <w:vAlign w:val="center"/>
          </w:tcPr>
          <w:p>
            <w:pPr>
              <w:spacing w:line="360" w:lineRule="exact"/>
              <w:ind w:firstLine="0" w:firstLineChars="0"/>
              <w:rPr>
                <w:sz w:val="24"/>
                <w:szCs w:val="24"/>
              </w:rPr>
            </w:pPr>
            <w:r>
              <w:rPr>
                <w:sz w:val="24"/>
                <w:szCs w:val="24"/>
              </w:rPr>
              <w:t>3000</w:t>
            </w:r>
          </w:p>
        </w:tc>
        <w:tc>
          <w:tcPr>
            <w:tcW w:w="993" w:type="dxa"/>
            <w:vAlign w:val="center"/>
          </w:tcPr>
          <w:p>
            <w:pPr>
              <w:spacing w:line="360" w:lineRule="exact"/>
              <w:ind w:firstLine="0" w:firstLineChars="0"/>
              <w:rPr>
                <w:sz w:val="24"/>
                <w:szCs w:val="24"/>
              </w:rPr>
            </w:pPr>
            <w:r>
              <w:rPr>
                <w:sz w:val="24"/>
                <w:szCs w:val="24"/>
              </w:rPr>
              <w:t>3000</w:t>
            </w:r>
          </w:p>
        </w:tc>
        <w:tc>
          <w:tcPr>
            <w:tcW w:w="1275" w:type="dxa"/>
            <w:vAlign w:val="center"/>
          </w:tcPr>
          <w:p>
            <w:pPr>
              <w:spacing w:line="360" w:lineRule="exact"/>
              <w:ind w:firstLine="0" w:firstLineChars="0"/>
              <w:rPr>
                <w:sz w:val="28"/>
                <w:szCs w:val="28"/>
              </w:rPr>
            </w:pPr>
            <w:r>
              <w:rPr>
                <w:rFonts w:hint="eastAsia"/>
                <w:sz w:val="28"/>
                <w:szCs w:val="2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0</w:t>
            </w:r>
          </w:p>
        </w:tc>
        <w:tc>
          <w:tcPr>
            <w:tcW w:w="2235" w:type="dxa"/>
            <w:vAlign w:val="center"/>
          </w:tcPr>
          <w:p>
            <w:pPr>
              <w:spacing w:line="360" w:lineRule="exact"/>
              <w:ind w:firstLine="0" w:firstLineChars="0"/>
              <w:rPr>
                <w:sz w:val="28"/>
                <w:szCs w:val="28"/>
              </w:rPr>
            </w:pPr>
            <w:r>
              <w:rPr>
                <w:rFonts w:hint="eastAsia"/>
                <w:sz w:val="28"/>
                <w:szCs w:val="28"/>
              </w:rPr>
              <w:t>白塔镇玉新益康疗养院改扩建工程</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pacing w:val="-4"/>
                <w:sz w:val="28"/>
                <w:szCs w:val="28"/>
              </w:rPr>
            </w:pPr>
            <w:r>
              <w:rPr>
                <w:rFonts w:hint="eastAsia"/>
                <w:spacing w:val="-4"/>
                <w:sz w:val="28"/>
                <w:szCs w:val="28"/>
              </w:rPr>
              <w:t>在前期运营的基础上，计划投入</w:t>
            </w:r>
            <w:r>
              <w:rPr>
                <w:spacing w:val="-4"/>
                <w:sz w:val="28"/>
                <w:szCs w:val="28"/>
              </w:rPr>
              <w:t>5000</w:t>
            </w:r>
            <w:r>
              <w:rPr>
                <w:rFonts w:hint="eastAsia"/>
                <w:spacing w:val="-4"/>
                <w:sz w:val="28"/>
                <w:szCs w:val="28"/>
              </w:rPr>
              <w:t>多万元，对部分办公场所、员工宿舍楼进行优化改造，预计新增床位</w:t>
            </w:r>
            <w:r>
              <w:rPr>
                <w:spacing w:val="-4"/>
                <w:sz w:val="28"/>
                <w:szCs w:val="28"/>
              </w:rPr>
              <w:t>200</w:t>
            </w:r>
            <w:r>
              <w:rPr>
                <w:rFonts w:hint="eastAsia"/>
                <w:spacing w:val="-4"/>
                <w:sz w:val="28"/>
                <w:szCs w:val="28"/>
              </w:rPr>
              <w:t>余个；计划投入约</w:t>
            </w:r>
            <w:r>
              <w:rPr>
                <w:spacing w:val="-4"/>
                <w:sz w:val="28"/>
                <w:szCs w:val="28"/>
              </w:rPr>
              <w:t>1</w:t>
            </w:r>
            <w:r>
              <w:rPr>
                <w:rFonts w:hint="eastAsia"/>
                <w:spacing w:val="-4"/>
                <w:sz w:val="28"/>
                <w:szCs w:val="28"/>
              </w:rPr>
              <w:t>亿元，新建一栋康养大楼，建筑面积超</w:t>
            </w:r>
            <w:r>
              <w:rPr>
                <w:spacing w:val="-4"/>
                <w:sz w:val="28"/>
                <w:szCs w:val="28"/>
              </w:rPr>
              <w:t>4800</w:t>
            </w:r>
            <w:r>
              <w:rPr>
                <w:rFonts w:hint="eastAsia"/>
                <w:spacing w:val="-4"/>
                <w:sz w:val="28"/>
                <w:szCs w:val="28"/>
              </w:rPr>
              <w:t>平方米，同时完善康养大楼内功能区域配套，引进一批医疗、保健、护理人才及设备，延伸大健康产业链，打造成为全市医养结合示范基地。</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15000</w:t>
            </w:r>
          </w:p>
        </w:tc>
        <w:tc>
          <w:tcPr>
            <w:tcW w:w="993" w:type="dxa"/>
            <w:vAlign w:val="center"/>
          </w:tcPr>
          <w:p>
            <w:pPr>
              <w:spacing w:line="360" w:lineRule="exact"/>
              <w:ind w:firstLine="0" w:firstLineChars="0"/>
              <w:rPr>
                <w:sz w:val="24"/>
                <w:szCs w:val="24"/>
              </w:rPr>
            </w:pPr>
            <w:r>
              <w:rPr>
                <w:sz w:val="24"/>
                <w:szCs w:val="24"/>
              </w:rPr>
              <w:t>15000</w:t>
            </w:r>
          </w:p>
        </w:tc>
        <w:tc>
          <w:tcPr>
            <w:tcW w:w="1275" w:type="dxa"/>
            <w:vAlign w:val="center"/>
          </w:tcPr>
          <w:p>
            <w:pPr>
              <w:spacing w:line="360" w:lineRule="exact"/>
              <w:ind w:firstLine="0" w:firstLineChars="0"/>
              <w:rPr>
                <w:sz w:val="28"/>
                <w:szCs w:val="28"/>
              </w:rPr>
            </w:pPr>
            <w:r>
              <w:rPr>
                <w:rFonts w:hint="eastAsia"/>
                <w:sz w:val="28"/>
                <w:szCs w:val="28"/>
              </w:rPr>
              <w:t>白塔镇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1</w:t>
            </w:r>
          </w:p>
        </w:tc>
        <w:tc>
          <w:tcPr>
            <w:tcW w:w="2235" w:type="dxa"/>
            <w:vAlign w:val="center"/>
          </w:tcPr>
          <w:p>
            <w:pPr>
              <w:spacing w:line="360" w:lineRule="exact"/>
              <w:ind w:firstLine="0" w:firstLineChars="0"/>
              <w:rPr>
                <w:sz w:val="28"/>
                <w:szCs w:val="28"/>
              </w:rPr>
            </w:pPr>
            <w:r>
              <w:rPr>
                <w:rFonts w:hint="eastAsia"/>
                <w:sz w:val="28"/>
                <w:szCs w:val="28"/>
              </w:rPr>
              <w:t>揭阳市潭王红色创意乡村旅游综合体</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pacing w:val="-4"/>
                <w:sz w:val="28"/>
                <w:szCs w:val="28"/>
              </w:rPr>
            </w:pPr>
            <w:r>
              <w:rPr>
                <w:rFonts w:hint="eastAsia"/>
                <w:spacing w:val="-4"/>
                <w:sz w:val="28"/>
                <w:szCs w:val="28"/>
              </w:rPr>
              <w:t>以在潭王村南面河流建设桥梁与现有揭阳市区的科技大道相连为牵引，按照现代化新农村的标准进行规划改造，将革命老区潭王村打造成六大功能区：现代化农业区、公共服务区、康养区、教育区、居住区、历史文化区。</w:t>
            </w:r>
          </w:p>
        </w:tc>
        <w:tc>
          <w:tcPr>
            <w:tcW w:w="870" w:type="dxa"/>
            <w:vAlign w:val="center"/>
          </w:tcPr>
          <w:p>
            <w:pPr>
              <w:spacing w:line="360" w:lineRule="exact"/>
              <w:ind w:firstLine="0" w:firstLineChars="0"/>
              <w:rPr>
                <w:sz w:val="24"/>
                <w:szCs w:val="24"/>
              </w:rPr>
            </w:pPr>
            <w:r>
              <w:rPr>
                <w:sz w:val="24"/>
                <w:szCs w:val="24"/>
              </w:rPr>
              <w:t>2020-2024</w:t>
            </w:r>
          </w:p>
        </w:tc>
        <w:tc>
          <w:tcPr>
            <w:tcW w:w="1127" w:type="dxa"/>
            <w:vAlign w:val="center"/>
          </w:tcPr>
          <w:p>
            <w:pPr>
              <w:spacing w:line="360" w:lineRule="exact"/>
              <w:ind w:firstLine="0" w:firstLineChars="0"/>
              <w:rPr>
                <w:sz w:val="24"/>
                <w:szCs w:val="24"/>
              </w:rPr>
            </w:pPr>
            <w:r>
              <w:rPr>
                <w:sz w:val="24"/>
                <w:szCs w:val="24"/>
              </w:rPr>
              <w:t>60000</w:t>
            </w:r>
          </w:p>
        </w:tc>
        <w:tc>
          <w:tcPr>
            <w:tcW w:w="993" w:type="dxa"/>
            <w:vAlign w:val="center"/>
          </w:tcPr>
          <w:p>
            <w:pPr>
              <w:spacing w:line="360" w:lineRule="exact"/>
              <w:ind w:firstLine="0" w:firstLineChars="0"/>
              <w:rPr>
                <w:sz w:val="24"/>
                <w:szCs w:val="24"/>
              </w:rPr>
            </w:pPr>
            <w:r>
              <w:rPr>
                <w:sz w:val="24"/>
                <w:szCs w:val="24"/>
              </w:rPr>
              <w:t>55000</w:t>
            </w:r>
          </w:p>
        </w:tc>
        <w:tc>
          <w:tcPr>
            <w:tcW w:w="1275" w:type="dxa"/>
            <w:vAlign w:val="center"/>
          </w:tcPr>
          <w:p>
            <w:pPr>
              <w:spacing w:line="360" w:lineRule="exact"/>
              <w:ind w:firstLine="0" w:firstLineChars="0"/>
              <w:rPr>
                <w:sz w:val="28"/>
                <w:szCs w:val="28"/>
              </w:rPr>
            </w:pPr>
            <w:r>
              <w:rPr>
                <w:rFonts w:hint="eastAsia"/>
                <w:sz w:val="28"/>
                <w:szCs w:val="28"/>
              </w:rPr>
              <w:t>锡场镇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2</w:t>
            </w:r>
          </w:p>
        </w:tc>
        <w:tc>
          <w:tcPr>
            <w:tcW w:w="2235" w:type="dxa"/>
            <w:vAlign w:val="center"/>
          </w:tcPr>
          <w:p>
            <w:pPr>
              <w:spacing w:line="360" w:lineRule="exact"/>
              <w:ind w:firstLine="0" w:firstLineChars="0"/>
              <w:rPr>
                <w:sz w:val="28"/>
                <w:szCs w:val="28"/>
              </w:rPr>
            </w:pPr>
            <w:r>
              <w:rPr>
                <w:rFonts w:hint="eastAsia"/>
                <w:sz w:val="28"/>
                <w:szCs w:val="28"/>
              </w:rPr>
              <w:t>揭东区</w:t>
            </w:r>
            <w:r>
              <w:rPr>
                <w:sz w:val="28"/>
                <w:szCs w:val="28"/>
              </w:rPr>
              <w:t>“</w:t>
            </w:r>
            <w:r>
              <w:rPr>
                <w:rFonts w:hint="eastAsia"/>
                <w:sz w:val="28"/>
                <w:szCs w:val="28"/>
              </w:rPr>
              <w:t>榕水风华</w:t>
            </w:r>
            <w:r>
              <w:rPr>
                <w:sz w:val="28"/>
                <w:szCs w:val="28"/>
              </w:rPr>
              <w:t>”</w:t>
            </w:r>
            <w:r>
              <w:rPr>
                <w:rFonts w:hint="eastAsia"/>
                <w:sz w:val="28"/>
                <w:szCs w:val="28"/>
              </w:rPr>
              <w:t>文化历史休闲长廊</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pacing w:val="-4"/>
                <w:sz w:val="28"/>
                <w:szCs w:val="28"/>
              </w:rPr>
            </w:pPr>
            <w:r>
              <w:rPr>
                <w:spacing w:val="-4"/>
                <w:sz w:val="28"/>
                <w:szCs w:val="28"/>
              </w:rPr>
              <w:t>“</w:t>
            </w:r>
            <w:r>
              <w:rPr>
                <w:rFonts w:hint="eastAsia"/>
                <w:spacing w:val="-4"/>
                <w:sz w:val="28"/>
                <w:szCs w:val="28"/>
              </w:rPr>
              <w:t>榕水风华</w:t>
            </w:r>
            <w:r>
              <w:rPr>
                <w:spacing w:val="-4"/>
                <w:sz w:val="28"/>
                <w:szCs w:val="28"/>
              </w:rPr>
              <w:t>”</w:t>
            </w:r>
            <w:r>
              <w:rPr>
                <w:rFonts w:hint="eastAsia"/>
                <w:spacing w:val="-4"/>
                <w:sz w:val="28"/>
                <w:szCs w:val="28"/>
              </w:rPr>
              <w:t>文化历史休闲长廊位于曲溪河两岸，北起寨内村，南入榕江，紧靠榕江北岸，全程约</w:t>
            </w:r>
            <w:r>
              <w:rPr>
                <w:spacing w:val="-4"/>
                <w:sz w:val="28"/>
                <w:szCs w:val="28"/>
              </w:rPr>
              <w:t>2.5</w:t>
            </w:r>
            <w:r>
              <w:rPr>
                <w:rFonts w:hint="eastAsia"/>
                <w:spacing w:val="-4"/>
                <w:sz w:val="28"/>
                <w:szCs w:val="28"/>
              </w:rPr>
              <w:t>公里。对曲溪河进行整治，建设绿道、景观点，对沿岸寨内村、寨二村、港美村等南宋、元、明、清、民国和解放初期的建筑、商业市集等古建筑进行整治修缮，打造一条休闲、游玩、可观性较强特色文化历史休闲长廊。</w:t>
            </w:r>
          </w:p>
        </w:tc>
        <w:tc>
          <w:tcPr>
            <w:tcW w:w="870" w:type="dxa"/>
            <w:vAlign w:val="center"/>
          </w:tcPr>
          <w:p>
            <w:pPr>
              <w:spacing w:line="360" w:lineRule="exact"/>
              <w:ind w:firstLine="0" w:firstLineChars="0"/>
              <w:rPr>
                <w:sz w:val="24"/>
                <w:szCs w:val="24"/>
              </w:rPr>
            </w:pPr>
            <w:r>
              <w:rPr>
                <w:sz w:val="24"/>
                <w:szCs w:val="24"/>
              </w:rPr>
              <w:t>2018-2025</w:t>
            </w:r>
          </w:p>
        </w:tc>
        <w:tc>
          <w:tcPr>
            <w:tcW w:w="1127" w:type="dxa"/>
            <w:vAlign w:val="center"/>
          </w:tcPr>
          <w:p>
            <w:pPr>
              <w:spacing w:line="360" w:lineRule="exact"/>
              <w:ind w:firstLine="0" w:firstLineChars="0"/>
              <w:rPr>
                <w:sz w:val="24"/>
                <w:szCs w:val="24"/>
              </w:rPr>
            </w:pPr>
            <w:r>
              <w:rPr>
                <w:sz w:val="24"/>
                <w:szCs w:val="24"/>
              </w:rPr>
              <w:t>30000</w:t>
            </w:r>
          </w:p>
        </w:tc>
        <w:tc>
          <w:tcPr>
            <w:tcW w:w="993" w:type="dxa"/>
            <w:vAlign w:val="center"/>
          </w:tcPr>
          <w:p>
            <w:pPr>
              <w:spacing w:line="360" w:lineRule="exact"/>
              <w:ind w:firstLine="0" w:firstLineChars="0"/>
              <w:rPr>
                <w:sz w:val="24"/>
                <w:szCs w:val="24"/>
              </w:rPr>
            </w:pPr>
            <w:r>
              <w:rPr>
                <w:sz w:val="24"/>
                <w:szCs w:val="24"/>
              </w:rPr>
              <w:t>24211</w:t>
            </w:r>
          </w:p>
        </w:tc>
        <w:tc>
          <w:tcPr>
            <w:tcW w:w="1275" w:type="dxa"/>
            <w:vAlign w:val="center"/>
          </w:tcPr>
          <w:p>
            <w:pPr>
              <w:spacing w:line="360" w:lineRule="exact"/>
              <w:ind w:firstLine="0" w:firstLineChars="0"/>
              <w:rPr>
                <w:sz w:val="28"/>
                <w:szCs w:val="28"/>
              </w:rPr>
            </w:pPr>
            <w:r>
              <w:rPr>
                <w:rFonts w:hint="eastAsia"/>
                <w:sz w:val="28"/>
                <w:szCs w:val="28"/>
              </w:rPr>
              <w:t>曲溪街道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3</w:t>
            </w:r>
          </w:p>
        </w:tc>
        <w:tc>
          <w:tcPr>
            <w:tcW w:w="2235" w:type="dxa"/>
            <w:vAlign w:val="center"/>
          </w:tcPr>
          <w:p>
            <w:pPr>
              <w:spacing w:line="360" w:lineRule="exact"/>
              <w:ind w:firstLine="0" w:firstLineChars="0"/>
              <w:rPr>
                <w:sz w:val="28"/>
                <w:szCs w:val="28"/>
              </w:rPr>
            </w:pPr>
            <w:r>
              <w:rPr>
                <w:rFonts w:hint="eastAsia"/>
                <w:sz w:val="28"/>
                <w:szCs w:val="28"/>
              </w:rPr>
              <w:t>玉湖山工夫茶文化休闲博览园</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项目位于原揭东玉湖山生态茶园，面积</w:t>
            </w:r>
            <w:r>
              <w:rPr>
                <w:sz w:val="28"/>
                <w:szCs w:val="28"/>
              </w:rPr>
              <w:t>500</w:t>
            </w:r>
            <w:r>
              <w:rPr>
                <w:rFonts w:hint="eastAsia"/>
                <w:sz w:val="28"/>
                <w:szCs w:val="28"/>
              </w:rPr>
              <w:t>亩，建设项目分别为</w:t>
            </w:r>
            <w:r>
              <w:rPr>
                <w:sz w:val="28"/>
                <w:szCs w:val="28"/>
              </w:rPr>
              <w:t>“</w:t>
            </w:r>
            <w:r>
              <w:rPr>
                <w:rFonts w:hint="eastAsia"/>
                <w:sz w:val="28"/>
                <w:szCs w:val="28"/>
              </w:rPr>
              <w:t>两馆一院一宿六园一湖</w:t>
            </w:r>
            <w:r>
              <w:rPr>
                <w:sz w:val="28"/>
                <w:szCs w:val="28"/>
              </w:rPr>
              <w:t>”</w:t>
            </w:r>
            <w:r>
              <w:rPr>
                <w:rFonts w:hint="eastAsia"/>
                <w:sz w:val="28"/>
                <w:szCs w:val="28"/>
              </w:rPr>
              <w:t>，即工夫炒茶博物馆、工夫茶体验馆、工夫炒茶大院、工夫茶民宿、玉湖山工夫茶休闲博览园、少年创意自然研学园、茶山露营体验园、儿童植物园、微动物园、家庭休闲花园、休闲钓鱼湖。</w:t>
            </w:r>
          </w:p>
        </w:tc>
        <w:tc>
          <w:tcPr>
            <w:tcW w:w="870" w:type="dxa"/>
            <w:vAlign w:val="center"/>
          </w:tcPr>
          <w:p>
            <w:pPr>
              <w:spacing w:line="360" w:lineRule="exact"/>
              <w:ind w:firstLine="0" w:firstLineChars="0"/>
              <w:rPr>
                <w:sz w:val="24"/>
                <w:szCs w:val="24"/>
              </w:rPr>
            </w:pPr>
            <w:r>
              <w:rPr>
                <w:sz w:val="24"/>
                <w:szCs w:val="24"/>
              </w:rPr>
              <w:t>2020-2026</w:t>
            </w:r>
          </w:p>
        </w:tc>
        <w:tc>
          <w:tcPr>
            <w:tcW w:w="1127" w:type="dxa"/>
            <w:vAlign w:val="center"/>
          </w:tcPr>
          <w:p>
            <w:pPr>
              <w:spacing w:line="360" w:lineRule="exact"/>
              <w:ind w:firstLine="0" w:firstLineChars="0"/>
              <w:rPr>
                <w:sz w:val="24"/>
                <w:szCs w:val="24"/>
              </w:rPr>
            </w:pPr>
            <w:r>
              <w:rPr>
                <w:sz w:val="24"/>
                <w:szCs w:val="24"/>
              </w:rPr>
              <w:t>10000</w:t>
            </w:r>
          </w:p>
        </w:tc>
        <w:tc>
          <w:tcPr>
            <w:tcW w:w="993" w:type="dxa"/>
            <w:vAlign w:val="center"/>
          </w:tcPr>
          <w:p>
            <w:pPr>
              <w:spacing w:line="360" w:lineRule="exact"/>
              <w:ind w:firstLine="0" w:firstLineChars="0"/>
              <w:rPr>
                <w:sz w:val="24"/>
                <w:szCs w:val="24"/>
              </w:rPr>
            </w:pPr>
            <w:r>
              <w:rPr>
                <w:sz w:val="24"/>
                <w:szCs w:val="24"/>
              </w:rPr>
              <w:t>9000</w:t>
            </w:r>
          </w:p>
        </w:tc>
        <w:tc>
          <w:tcPr>
            <w:tcW w:w="1275" w:type="dxa"/>
            <w:vAlign w:val="center"/>
          </w:tcPr>
          <w:p>
            <w:pPr>
              <w:spacing w:line="360" w:lineRule="exact"/>
              <w:ind w:firstLine="0" w:firstLineChars="0"/>
              <w:rPr>
                <w:sz w:val="28"/>
                <w:szCs w:val="28"/>
              </w:rPr>
            </w:pPr>
            <w:r>
              <w:rPr>
                <w:rFonts w:hint="eastAsia"/>
                <w:sz w:val="28"/>
                <w:szCs w:val="28"/>
              </w:rPr>
              <w:t>玉湖镇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4</w:t>
            </w:r>
          </w:p>
        </w:tc>
        <w:tc>
          <w:tcPr>
            <w:tcW w:w="2235" w:type="dxa"/>
            <w:vAlign w:val="center"/>
          </w:tcPr>
          <w:p>
            <w:pPr>
              <w:spacing w:line="360" w:lineRule="exact"/>
              <w:ind w:firstLine="0" w:firstLineChars="0"/>
              <w:rPr>
                <w:sz w:val="28"/>
                <w:szCs w:val="28"/>
              </w:rPr>
            </w:pPr>
            <w:r>
              <w:rPr>
                <w:rFonts w:hint="eastAsia"/>
                <w:sz w:val="28"/>
                <w:szCs w:val="28"/>
              </w:rPr>
              <w:t>揭阳市宝山湖文化生态项目</w:t>
            </w:r>
          </w:p>
        </w:tc>
        <w:tc>
          <w:tcPr>
            <w:tcW w:w="885" w:type="dxa"/>
            <w:vAlign w:val="center"/>
          </w:tcPr>
          <w:p>
            <w:pPr>
              <w:spacing w:line="360" w:lineRule="exact"/>
              <w:ind w:firstLine="0" w:firstLineChars="0"/>
              <w:jc w:val="center"/>
              <w:rPr>
                <w:sz w:val="28"/>
                <w:szCs w:val="28"/>
              </w:rPr>
            </w:pPr>
            <w:r>
              <w:rPr>
                <w:rFonts w:hint="eastAsia"/>
                <w:sz w:val="28"/>
                <w:szCs w:val="28"/>
              </w:rPr>
              <w:t>续建</w:t>
            </w:r>
          </w:p>
        </w:tc>
        <w:tc>
          <w:tcPr>
            <w:tcW w:w="6508" w:type="dxa"/>
            <w:vAlign w:val="center"/>
          </w:tcPr>
          <w:p>
            <w:pPr>
              <w:spacing w:line="360" w:lineRule="exact"/>
              <w:ind w:firstLine="0" w:firstLineChars="0"/>
              <w:rPr>
                <w:sz w:val="28"/>
                <w:szCs w:val="28"/>
              </w:rPr>
            </w:pPr>
            <w:r>
              <w:rPr>
                <w:rFonts w:hint="eastAsia"/>
                <w:sz w:val="28"/>
                <w:szCs w:val="28"/>
              </w:rPr>
              <w:t>总规划面积约</w:t>
            </w:r>
            <w:r>
              <w:rPr>
                <w:sz w:val="28"/>
                <w:szCs w:val="28"/>
              </w:rPr>
              <w:t>6.464</w:t>
            </w:r>
            <w:r>
              <w:rPr>
                <w:rFonts w:hint="eastAsia"/>
                <w:sz w:val="28"/>
                <w:szCs w:val="28"/>
              </w:rPr>
              <w:t>平方公里；计划建设潮汕文化风情古镇、实景演出、宝峰户外探秘露营区、福禄湖滨水休闲娱乐区、旅游综合服务区、园区配套道路、生态停车场；依靠山势地形建设山地运动、生态保育区等。</w:t>
            </w:r>
          </w:p>
        </w:tc>
        <w:tc>
          <w:tcPr>
            <w:tcW w:w="870" w:type="dxa"/>
            <w:vAlign w:val="center"/>
          </w:tcPr>
          <w:p>
            <w:pPr>
              <w:spacing w:line="360" w:lineRule="exact"/>
              <w:ind w:firstLine="0" w:firstLineChars="0"/>
              <w:rPr>
                <w:sz w:val="24"/>
                <w:szCs w:val="24"/>
              </w:rPr>
            </w:pPr>
            <w:r>
              <w:rPr>
                <w:sz w:val="24"/>
                <w:szCs w:val="24"/>
              </w:rPr>
              <w:t>2014-2025</w:t>
            </w:r>
          </w:p>
        </w:tc>
        <w:tc>
          <w:tcPr>
            <w:tcW w:w="1127" w:type="dxa"/>
            <w:vAlign w:val="center"/>
          </w:tcPr>
          <w:p>
            <w:pPr>
              <w:spacing w:line="360" w:lineRule="exact"/>
              <w:ind w:firstLine="0" w:firstLineChars="0"/>
              <w:rPr>
                <w:sz w:val="24"/>
                <w:szCs w:val="24"/>
              </w:rPr>
            </w:pPr>
            <w:r>
              <w:rPr>
                <w:sz w:val="24"/>
                <w:szCs w:val="24"/>
              </w:rPr>
              <w:t>220000</w:t>
            </w:r>
          </w:p>
        </w:tc>
        <w:tc>
          <w:tcPr>
            <w:tcW w:w="993" w:type="dxa"/>
            <w:vAlign w:val="center"/>
          </w:tcPr>
          <w:p>
            <w:pPr>
              <w:spacing w:line="360" w:lineRule="exact"/>
              <w:ind w:firstLine="0" w:firstLineChars="0"/>
              <w:rPr>
                <w:sz w:val="24"/>
                <w:szCs w:val="24"/>
              </w:rPr>
            </w:pPr>
            <w:r>
              <w:rPr>
                <w:sz w:val="24"/>
                <w:szCs w:val="24"/>
              </w:rPr>
              <w:t>140000</w:t>
            </w:r>
          </w:p>
        </w:tc>
        <w:tc>
          <w:tcPr>
            <w:tcW w:w="1275" w:type="dxa"/>
            <w:vAlign w:val="center"/>
          </w:tcPr>
          <w:p>
            <w:pPr>
              <w:spacing w:line="360" w:lineRule="exact"/>
              <w:ind w:firstLine="0" w:firstLineChars="0"/>
              <w:rPr>
                <w:sz w:val="28"/>
                <w:szCs w:val="28"/>
              </w:rPr>
            </w:pPr>
            <w:r>
              <w:rPr>
                <w:rFonts w:hint="eastAsia"/>
                <w:sz w:val="28"/>
                <w:szCs w:val="28"/>
              </w:rPr>
              <w:t>云路镇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6" w:type="dxa"/>
            <w:vAlign w:val="center"/>
          </w:tcPr>
          <w:p>
            <w:pPr>
              <w:spacing w:line="360" w:lineRule="exact"/>
              <w:ind w:firstLine="0" w:firstLineChars="0"/>
              <w:rPr>
                <w:sz w:val="28"/>
                <w:szCs w:val="28"/>
              </w:rPr>
            </w:pPr>
            <w:r>
              <w:rPr>
                <w:rFonts w:hint="eastAsia"/>
                <w:sz w:val="28"/>
                <w:szCs w:val="28"/>
              </w:rPr>
              <w:t>4</w:t>
            </w:r>
            <w:r>
              <w:rPr>
                <w:sz w:val="28"/>
                <w:szCs w:val="28"/>
              </w:rPr>
              <w:t>5</w:t>
            </w:r>
          </w:p>
        </w:tc>
        <w:tc>
          <w:tcPr>
            <w:tcW w:w="2235" w:type="dxa"/>
            <w:vAlign w:val="center"/>
          </w:tcPr>
          <w:p>
            <w:pPr>
              <w:spacing w:line="360" w:lineRule="exact"/>
              <w:ind w:firstLine="0" w:firstLineChars="0"/>
              <w:rPr>
                <w:sz w:val="28"/>
                <w:szCs w:val="28"/>
              </w:rPr>
            </w:pPr>
            <w:r>
              <w:rPr>
                <w:rFonts w:hint="eastAsia"/>
                <w:sz w:val="28"/>
                <w:szCs w:val="28"/>
              </w:rPr>
              <w:t>玉滘</w:t>
            </w:r>
            <w:r>
              <w:rPr>
                <w:sz w:val="28"/>
                <w:szCs w:val="28"/>
              </w:rPr>
              <w:t>“</w:t>
            </w:r>
            <w:r>
              <w:rPr>
                <w:rFonts w:hint="eastAsia"/>
                <w:sz w:val="28"/>
                <w:szCs w:val="28"/>
              </w:rPr>
              <w:t>耕读文化</w:t>
            </w:r>
            <w:r>
              <w:rPr>
                <w:sz w:val="28"/>
                <w:szCs w:val="28"/>
              </w:rPr>
              <w:t>-</w:t>
            </w:r>
            <w:r>
              <w:rPr>
                <w:rFonts w:hint="eastAsia"/>
                <w:sz w:val="28"/>
                <w:szCs w:val="28"/>
              </w:rPr>
              <w:t>山水玉滘</w:t>
            </w:r>
            <w:r>
              <w:rPr>
                <w:sz w:val="28"/>
                <w:szCs w:val="28"/>
              </w:rPr>
              <w:t>”</w:t>
            </w:r>
            <w:r>
              <w:rPr>
                <w:rFonts w:hint="eastAsia"/>
                <w:sz w:val="28"/>
                <w:szCs w:val="28"/>
              </w:rPr>
              <w:t>精品旅游线路</w:t>
            </w:r>
          </w:p>
        </w:tc>
        <w:tc>
          <w:tcPr>
            <w:tcW w:w="885" w:type="dxa"/>
            <w:vAlign w:val="center"/>
          </w:tcPr>
          <w:p>
            <w:pPr>
              <w:spacing w:line="360" w:lineRule="exact"/>
              <w:ind w:firstLine="0" w:firstLineChars="0"/>
              <w:jc w:val="center"/>
              <w:rPr>
                <w:sz w:val="28"/>
                <w:szCs w:val="28"/>
              </w:rPr>
            </w:pPr>
            <w:r>
              <w:rPr>
                <w:rFonts w:hint="eastAsia"/>
                <w:sz w:val="28"/>
                <w:szCs w:val="28"/>
              </w:rPr>
              <w:t>新开工</w:t>
            </w:r>
          </w:p>
        </w:tc>
        <w:tc>
          <w:tcPr>
            <w:tcW w:w="6508" w:type="dxa"/>
            <w:vAlign w:val="center"/>
          </w:tcPr>
          <w:p>
            <w:pPr>
              <w:spacing w:line="360" w:lineRule="exact"/>
              <w:ind w:firstLine="0" w:firstLineChars="0"/>
              <w:rPr>
                <w:sz w:val="28"/>
                <w:szCs w:val="28"/>
              </w:rPr>
            </w:pPr>
            <w:r>
              <w:rPr>
                <w:sz w:val="28"/>
                <w:szCs w:val="28"/>
              </w:rPr>
              <w:t>“</w:t>
            </w:r>
            <w:r>
              <w:rPr>
                <w:rFonts w:hint="eastAsia"/>
                <w:sz w:val="28"/>
                <w:szCs w:val="28"/>
              </w:rPr>
              <w:t>耕读文化</w:t>
            </w:r>
            <w:r>
              <w:rPr>
                <w:sz w:val="28"/>
                <w:szCs w:val="28"/>
              </w:rPr>
              <w:t>-</w:t>
            </w:r>
            <w:r>
              <w:rPr>
                <w:rFonts w:hint="eastAsia"/>
                <w:sz w:val="28"/>
                <w:szCs w:val="28"/>
              </w:rPr>
              <w:t>山水玉滘</w:t>
            </w:r>
            <w:r>
              <w:rPr>
                <w:sz w:val="28"/>
                <w:szCs w:val="28"/>
              </w:rPr>
              <w:t>”</w:t>
            </w:r>
            <w:r>
              <w:rPr>
                <w:rFonts w:hint="eastAsia"/>
                <w:sz w:val="28"/>
                <w:szCs w:val="28"/>
              </w:rPr>
              <w:t>主题历史文化游径，以池渡村郑大进府旧址为重要节点，串连周边尖山村梅岗书院、谢坑村文化公园、凤美村潮汕民居群，打造一条历史文化与潮汕代表性建筑相整合的精品文化旅游线路。</w:t>
            </w:r>
          </w:p>
        </w:tc>
        <w:tc>
          <w:tcPr>
            <w:tcW w:w="870" w:type="dxa"/>
            <w:vAlign w:val="center"/>
          </w:tcPr>
          <w:p>
            <w:pPr>
              <w:spacing w:line="360" w:lineRule="exact"/>
              <w:ind w:firstLine="0" w:firstLineChars="0"/>
              <w:rPr>
                <w:sz w:val="24"/>
                <w:szCs w:val="24"/>
              </w:rPr>
            </w:pPr>
            <w:r>
              <w:rPr>
                <w:sz w:val="24"/>
                <w:szCs w:val="24"/>
              </w:rPr>
              <w:t>2021-2025</w:t>
            </w:r>
          </w:p>
        </w:tc>
        <w:tc>
          <w:tcPr>
            <w:tcW w:w="1127" w:type="dxa"/>
            <w:vAlign w:val="center"/>
          </w:tcPr>
          <w:p>
            <w:pPr>
              <w:spacing w:line="360" w:lineRule="exact"/>
              <w:ind w:firstLine="0" w:firstLineChars="0"/>
              <w:rPr>
                <w:sz w:val="24"/>
                <w:szCs w:val="24"/>
              </w:rPr>
            </w:pPr>
            <w:r>
              <w:rPr>
                <w:sz w:val="24"/>
                <w:szCs w:val="24"/>
              </w:rPr>
              <w:t>5000</w:t>
            </w:r>
          </w:p>
        </w:tc>
        <w:tc>
          <w:tcPr>
            <w:tcW w:w="993" w:type="dxa"/>
            <w:vAlign w:val="center"/>
          </w:tcPr>
          <w:p>
            <w:pPr>
              <w:spacing w:line="360" w:lineRule="exact"/>
              <w:ind w:firstLine="0" w:firstLineChars="0"/>
              <w:rPr>
                <w:sz w:val="24"/>
                <w:szCs w:val="24"/>
              </w:rPr>
            </w:pPr>
            <w:r>
              <w:rPr>
                <w:sz w:val="24"/>
                <w:szCs w:val="24"/>
              </w:rPr>
              <w:t>5000</w:t>
            </w:r>
          </w:p>
        </w:tc>
        <w:tc>
          <w:tcPr>
            <w:tcW w:w="1275" w:type="dxa"/>
            <w:vAlign w:val="center"/>
          </w:tcPr>
          <w:p>
            <w:pPr>
              <w:spacing w:line="360" w:lineRule="exact"/>
              <w:ind w:firstLine="0" w:firstLineChars="0"/>
              <w:rPr>
                <w:sz w:val="28"/>
                <w:szCs w:val="28"/>
              </w:rPr>
            </w:pPr>
            <w:r>
              <w:rPr>
                <w:rFonts w:hint="eastAsia"/>
                <w:sz w:val="28"/>
                <w:szCs w:val="28"/>
              </w:rPr>
              <w:t>玉滘镇</w:t>
            </w:r>
          </w:p>
        </w:tc>
      </w:tr>
    </w:tbl>
    <w:p>
      <w:pPr>
        <w:ind w:firstLine="640"/>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EmojiOne Mozilla"/>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FSJW--GB1-0">
    <w:altName w:val="Cambria"/>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EmojiOne Mozilla">
    <w:panose1 w:val="02000509000000000000"/>
    <w:charset w:val="00"/>
    <w:family w:val="auto"/>
    <w:pitch w:val="default"/>
    <w:sig w:usb0="80000003" w:usb1="0241E4AC" w:usb2="08000000" w:usb3="04000000" w:csb0="00000001" w:csb1="00000000"/>
  </w:font>
  <w:font w:name="Arial">
    <w:panose1 w:val="020B0604020202020204"/>
    <w:charset w:val="00"/>
    <w:family w:val="auto"/>
    <w:pitch w:val="default"/>
    <w:sig w:usb0="E0002AFF" w:usb1="C0007843" w:usb2="00000009" w:usb3="00000000" w:csb0="400001FF" w:csb1="FFFF0000"/>
  </w:font>
  <w:font w:name="等线 Light">
    <w:altName w:val="EmojiOne Mozilla"/>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65852"/>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9"/>
        <w:ind w:firstLine="360"/>
      </w:pPr>
      <w:r>
        <w:rPr>
          <w:rStyle w:val="28"/>
        </w:rPr>
        <w:footnoteRef/>
      </w:r>
      <w:r>
        <w:t xml:space="preserve"> </w:t>
      </w:r>
      <w:r>
        <w:rPr>
          <w:rFonts w:hint="eastAsia"/>
        </w:rPr>
        <w:t>含2020年并入的西部“五镇一街”</w:t>
      </w:r>
    </w:p>
  </w:footnote>
  <w:footnote w:id="1">
    <w:p>
      <w:pPr>
        <w:pStyle w:val="19"/>
        <w:ind w:firstLine="360"/>
      </w:pPr>
      <w:r>
        <w:rPr>
          <w:rStyle w:val="28"/>
        </w:rPr>
        <w:footnoteRef/>
      </w:r>
      <w:r>
        <w:t xml:space="preserve"> </w:t>
      </w:r>
      <w:r>
        <w:rPr>
          <w:rFonts w:hint="eastAsia"/>
        </w:rPr>
        <w:t>金融机构近园区、进企业，举办银企座谈会、金融金融产品推介会。</w:t>
      </w:r>
    </w:p>
  </w:footnote>
  <w:footnote w:id="2">
    <w:p>
      <w:pPr>
        <w:pStyle w:val="19"/>
        <w:spacing w:line="380" w:lineRule="exact"/>
        <w:ind w:firstLine="360"/>
      </w:pPr>
      <w:r>
        <w:rPr>
          <w:rStyle w:val="28"/>
        </w:rPr>
        <w:footnoteRef/>
      </w:r>
      <w:r>
        <w:t xml:space="preserve"> </w:t>
      </w:r>
      <w:r>
        <w:rPr>
          <w:rFonts w:hint="eastAsia"/>
        </w:rPr>
        <w:t>参照《揭东区中心区控制性详细规划（修编）》（2</w:t>
      </w:r>
      <w:r>
        <w:t>019</w:t>
      </w:r>
      <w:r>
        <w:rPr>
          <w:rFonts w:hint="eastAsia"/>
        </w:rPr>
        <w:t>年），第五章：规划文化设施用地2处，共3.31公顷，为揭东会展中心和规划文化活动中心。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rFonts w:hint="eastAsia"/>
      </w:rPr>
      <w:t>揭东区现代服务业发展“十四五”发展规划</w:t>
    </w: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97"/>
    <w:rsid w:val="00000EC5"/>
    <w:rsid w:val="00001B5F"/>
    <w:rsid w:val="00002A1A"/>
    <w:rsid w:val="000047CB"/>
    <w:rsid w:val="00005375"/>
    <w:rsid w:val="000058D0"/>
    <w:rsid w:val="00005EB2"/>
    <w:rsid w:val="00006BE7"/>
    <w:rsid w:val="000075E0"/>
    <w:rsid w:val="0001067A"/>
    <w:rsid w:val="000116C5"/>
    <w:rsid w:val="00012FC6"/>
    <w:rsid w:val="0001432C"/>
    <w:rsid w:val="000153F0"/>
    <w:rsid w:val="0001797E"/>
    <w:rsid w:val="00020FC9"/>
    <w:rsid w:val="00021066"/>
    <w:rsid w:val="000217AE"/>
    <w:rsid w:val="00021C88"/>
    <w:rsid w:val="000230D7"/>
    <w:rsid w:val="00023821"/>
    <w:rsid w:val="0002422C"/>
    <w:rsid w:val="00024365"/>
    <w:rsid w:val="000257C2"/>
    <w:rsid w:val="00026AE1"/>
    <w:rsid w:val="00030746"/>
    <w:rsid w:val="00031740"/>
    <w:rsid w:val="00032C03"/>
    <w:rsid w:val="000406B5"/>
    <w:rsid w:val="00040EB1"/>
    <w:rsid w:val="000416AE"/>
    <w:rsid w:val="00041D3A"/>
    <w:rsid w:val="00044C85"/>
    <w:rsid w:val="00045DF5"/>
    <w:rsid w:val="00046DA3"/>
    <w:rsid w:val="00046F10"/>
    <w:rsid w:val="00047B0B"/>
    <w:rsid w:val="00050F71"/>
    <w:rsid w:val="00051FA7"/>
    <w:rsid w:val="000536FC"/>
    <w:rsid w:val="00054006"/>
    <w:rsid w:val="000605B9"/>
    <w:rsid w:val="000629E9"/>
    <w:rsid w:val="00063657"/>
    <w:rsid w:val="0006367E"/>
    <w:rsid w:val="00071789"/>
    <w:rsid w:val="000739A0"/>
    <w:rsid w:val="0007456F"/>
    <w:rsid w:val="00074C4E"/>
    <w:rsid w:val="00080DE8"/>
    <w:rsid w:val="00082B40"/>
    <w:rsid w:val="00082B62"/>
    <w:rsid w:val="00084F3D"/>
    <w:rsid w:val="000868A1"/>
    <w:rsid w:val="00086D1F"/>
    <w:rsid w:val="00087EE2"/>
    <w:rsid w:val="0009168A"/>
    <w:rsid w:val="00092178"/>
    <w:rsid w:val="00092B80"/>
    <w:rsid w:val="00092BB7"/>
    <w:rsid w:val="0009304C"/>
    <w:rsid w:val="0009319E"/>
    <w:rsid w:val="0009353C"/>
    <w:rsid w:val="00093B06"/>
    <w:rsid w:val="00094EEE"/>
    <w:rsid w:val="00095DF0"/>
    <w:rsid w:val="0009797E"/>
    <w:rsid w:val="000A1308"/>
    <w:rsid w:val="000A1C3F"/>
    <w:rsid w:val="000A3ACA"/>
    <w:rsid w:val="000A44EF"/>
    <w:rsid w:val="000A47D3"/>
    <w:rsid w:val="000A5356"/>
    <w:rsid w:val="000A72BF"/>
    <w:rsid w:val="000A73F9"/>
    <w:rsid w:val="000A7E61"/>
    <w:rsid w:val="000B087C"/>
    <w:rsid w:val="000B207C"/>
    <w:rsid w:val="000B3DB3"/>
    <w:rsid w:val="000B48FF"/>
    <w:rsid w:val="000B57F2"/>
    <w:rsid w:val="000B5E73"/>
    <w:rsid w:val="000B6707"/>
    <w:rsid w:val="000C08E6"/>
    <w:rsid w:val="000C0ACF"/>
    <w:rsid w:val="000C164D"/>
    <w:rsid w:val="000C1CFB"/>
    <w:rsid w:val="000C26A9"/>
    <w:rsid w:val="000C3B39"/>
    <w:rsid w:val="000C485C"/>
    <w:rsid w:val="000C5667"/>
    <w:rsid w:val="000C6BF6"/>
    <w:rsid w:val="000D065B"/>
    <w:rsid w:val="000D0701"/>
    <w:rsid w:val="000D0F58"/>
    <w:rsid w:val="000D2DE9"/>
    <w:rsid w:val="000D4320"/>
    <w:rsid w:val="000D4367"/>
    <w:rsid w:val="000D52A4"/>
    <w:rsid w:val="000D60B5"/>
    <w:rsid w:val="000E0B46"/>
    <w:rsid w:val="000E4627"/>
    <w:rsid w:val="000E4EF6"/>
    <w:rsid w:val="000F3F86"/>
    <w:rsid w:val="000F567C"/>
    <w:rsid w:val="000F6CB7"/>
    <w:rsid w:val="00100093"/>
    <w:rsid w:val="001008B4"/>
    <w:rsid w:val="00100E80"/>
    <w:rsid w:val="001018AD"/>
    <w:rsid w:val="00101DC1"/>
    <w:rsid w:val="00103A97"/>
    <w:rsid w:val="00106D62"/>
    <w:rsid w:val="00110143"/>
    <w:rsid w:val="0011278A"/>
    <w:rsid w:val="00112799"/>
    <w:rsid w:val="00113031"/>
    <w:rsid w:val="00113091"/>
    <w:rsid w:val="00113E6A"/>
    <w:rsid w:val="001147EF"/>
    <w:rsid w:val="001157B3"/>
    <w:rsid w:val="00120694"/>
    <w:rsid w:val="00121D2A"/>
    <w:rsid w:val="001239B5"/>
    <w:rsid w:val="001240D0"/>
    <w:rsid w:val="00124DE1"/>
    <w:rsid w:val="001255F8"/>
    <w:rsid w:val="00125887"/>
    <w:rsid w:val="0012611F"/>
    <w:rsid w:val="00131019"/>
    <w:rsid w:val="00131A28"/>
    <w:rsid w:val="001332EC"/>
    <w:rsid w:val="001348CE"/>
    <w:rsid w:val="00135BDC"/>
    <w:rsid w:val="00136D43"/>
    <w:rsid w:val="001374E0"/>
    <w:rsid w:val="00140AD9"/>
    <w:rsid w:val="0014137E"/>
    <w:rsid w:val="00141F68"/>
    <w:rsid w:val="0014522F"/>
    <w:rsid w:val="00147111"/>
    <w:rsid w:val="00147683"/>
    <w:rsid w:val="0015055C"/>
    <w:rsid w:val="00150730"/>
    <w:rsid w:val="001511AF"/>
    <w:rsid w:val="00151B39"/>
    <w:rsid w:val="00152BED"/>
    <w:rsid w:val="001533C2"/>
    <w:rsid w:val="00153B44"/>
    <w:rsid w:val="00154BCB"/>
    <w:rsid w:val="0016104F"/>
    <w:rsid w:val="00165809"/>
    <w:rsid w:val="00165BC2"/>
    <w:rsid w:val="00167027"/>
    <w:rsid w:val="00167B10"/>
    <w:rsid w:val="0017142F"/>
    <w:rsid w:val="00171BD5"/>
    <w:rsid w:val="00171C1E"/>
    <w:rsid w:val="00175F2D"/>
    <w:rsid w:val="00183597"/>
    <w:rsid w:val="00183AD7"/>
    <w:rsid w:val="001857A0"/>
    <w:rsid w:val="001876D2"/>
    <w:rsid w:val="001908A0"/>
    <w:rsid w:val="00191140"/>
    <w:rsid w:val="00195169"/>
    <w:rsid w:val="001972D4"/>
    <w:rsid w:val="00197CEB"/>
    <w:rsid w:val="001A0505"/>
    <w:rsid w:val="001A096D"/>
    <w:rsid w:val="001A0BC6"/>
    <w:rsid w:val="001A13CC"/>
    <w:rsid w:val="001A1CC3"/>
    <w:rsid w:val="001A3186"/>
    <w:rsid w:val="001A3D6F"/>
    <w:rsid w:val="001A5E6E"/>
    <w:rsid w:val="001A69A3"/>
    <w:rsid w:val="001B0A82"/>
    <w:rsid w:val="001B1B90"/>
    <w:rsid w:val="001B2E18"/>
    <w:rsid w:val="001B350F"/>
    <w:rsid w:val="001B46E1"/>
    <w:rsid w:val="001B5699"/>
    <w:rsid w:val="001B719F"/>
    <w:rsid w:val="001C2413"/>
    <w:rsid w:val="001C429A"/>
    <w:rsid w:val="001C53CB"/>
    <w:rsid w:val="001C53E3"/>
    <w:rsid w:val="001C7F83"/>
    <w:rsid w:val="001D023D"/>
    <w:rsid w:val="001D0D31"/>
    <w:rsid w:val="001D3224"/>
    <w:rsid w:val="001D4B52"/>
    <w:rsid w:val="001D6640"/>
    <w:rsid w:val="001E18F6"/>
    <w:rsid w:val="001E1CEC"/>
    <w:rsid w:val="001E5CB3"/>
    <w:rsid w:val="001F0114"/>
    <w:rsid w:val="001F0A05"/>
    <w:rsid w:val="001F5CC8"/>
    <w:rsid w:val="002000A6"/>
    <w:rsid w:val="002016EF"/>
    <w:rsid w:val="00201BD8"/>
    <w:rsid w:val="00201C87"/>
    <w:rsid w:val="00201F84"/>
    <w:rsid w:val="00202AB4"/>
    <w:rsid w:val="00202B00"/>
    <w:rsid w:val="002039BB"/>
    <w:rsid w:val="002040CF"/>
    <w:rsid w:val="002069F5"/>
    <w:rsid w:val="00207230"/>
    <w:rsid w:val="00210180"/>
    <w:rsid w:val="0021055E"/>
    <w:rsid w:val="00210747"/>
    <w:rsid w:val="00211089"/>
    <w:rsid w:val="002130D6"/>
    <w:rsid w:val="002151B0"/>
    <w:rsid w:val="00215B27"/>
    <w:rsid w:val="00217155"/>
    <w:rsid w:val="00222C7B"/>
    <w:rsid w:val="00223FB9"/>
    <w:rsid w:val="0022616F"/>
    <w:rsid w:val="00226CBC"/>
    <w:rsid w:val="00226EA3"/>
    <w:rsid w:val="002302E0"/>
    <w:rsid w:val="00231D19"/>
    <w:rsid w:val="00232E92"/>
    <w:rsid w:val="00233781"/>
    <w:rsid w:val="002425AF"/>
    <w:rsid w:val="00243613"/>
    <w:rsid w:val="00243E6C"/>
    <w:rsid w:val="002451FE"/>
    <w:rsid w:val="002456EB"/>
    <w:rsid w:val="00245D7C"/>
    <w:rsid w:val="00245E9B"/>
    <w:rsid w:val="00246603"/>
    <w:rsid w:val="00246AEC"/>
    <w:rsid w:val="00247E0B"/>
    <w:rsid w:val="00247EC9"/>
    <w:rsid w:val="00251ADF"/>
    <w:rsid w:val="00251F8D"/>
    <w:rsid w:val="00254222"/>
    <w:rsid w:val="002543B4"/>
    <w:rsid w:val="00255E58"/>
    <w:rsid w:val="00263A49"/>
    <w:rsid w:val="00264849"/>
    <w:rsid w:val="0026655A"/>
    <w:rsid w:val="00267304"/>
    <w:rsid w:val="0027078A"/>
    <w:rsid w:val="00270959"/>
    <w:rsid w:val="002709CF"/>
    <w:rsid w:val="002719AB"/>
    <w:rsid w:val="00274B84"/>
    <w:rsid w:val="00276813"/>
    <w:rsid w:val="0028003A"/>
    <w:rsid w:val="00281023"/>
    <w:rsid w:val="002810D7"/>
    <w:rsid w:val="0028153A"/>
    <w:rsid w:val="002829BD"/>
    <w:rsid w:val="00282F14"/>
    <w:rsid w:val="00283152"/>
    <w:rsid w:val="00284F17"/>
    <w:rsid w:val="002864C6"/>
    <w:rsid w:val="002866FE"/>
    <w:rsid w:val="0028767D"/>
    <w:rsid w:val="00290D3F"/>
    <w:rsid w:val="0029295C"/>
    <w:rsid w:val="002A1FAE"/>
    <w:rsid w:val="002A33B9"/>
    <w:rsid w:val="002A5D4B"/>
    <w:rsid w:val="002B1707"/>
    <w:rsid w:val="002B6A05"/>
    <w:rsid w:val="002C0102"/>
    <w:rsid w:val="002C2697"/>
    <w:rsid w:val="002C53B6"/>
    <w:rsid w:val="002C7DC6"/>
    <w:rsid w:val="002D101B"/>
    <w:rsid w:val="002D1213"/>
    <w:rsid w:val="002D2240"/>
    <w:rsid w:val="002D23D2"/>
    <w:rsid w:val="002D342B"/>
    <w:rsid w:val="002D402A"/>
    <w:rsid w:val="002D41B7"/>
    <w:rsid w:val="002D4435"/>
    <w:rsid w:val="002D44A4"/>
    <w:rsid w:val="002D54EF"/>
    <w:rsid w:val="002D5EA8"/>
    <w:rsid w:val="002D7349"/>
    <w:rsid w:val="002D73E9"/>
    <w:rsid w:val="002D79C2"/>
    <w:rsid w:val="002E06E0"/>
    <w:rsid w:val="002E1D6F"/>
    <w:rsid w:val="002E316B"/>
    <w:rsid w:val="002E393C"/>
    <w:rsid w:val="002E3C98"/>
    <w:rsid w:val="002E4EC9"/>
    <w:rsid w:val="002E5BE8"/>
    <w:rsid w:val="002E7448"/>
    <w:rsid w:val="002E778F"/>
    <w:rsid w:val="002F036B"/>
    <w:rsid w:val="002F3CA2"/>
    <w:rsid w:val="002F476D"/>
    <w:rsid w:val="002F5F48"/>
    <w:rsid w:val="002F693D"/>
    <w:rsid w:val="002F6B07"/>
    <w:rsid w:val="002F6CFB"/>
    <w:rsid w:val="003029F9"/>
    <w:rsid w:val="00304507"/>
    <w:rsid w:val="003048CB"/>
    <w:rsid w:val="00305266"/>
    <w:rsid w:val="003055D2"/>
    <w:rsid w:val="0031281C"/>
    <w:rsid w:val="003137D0"/>
    <w:rsid w:val="00314CEF"/>
    <w:rsid w:val="00315096"/>
    <w:rsid w:val="0031538A"/>
    <w:rsid w:val="00315CF1"/>
    <w:rsid w:val="003164FF"/>
    <w:rsid w:val="0032285F"/>
    <w:rsid w:val="003259E6"/>
    <w:rsid w:val="00325DDA"/>
    <w:rsid w:val="00332157"/>
    <w:rsid w:val="00332D12"/>
    <w:rsid w:val="003331FE"/>
    <w:rsid w:val="00334A7F"/>
    <w:rsid w:val="0033534F"/>
    <w:rsid w:val="00337DC4"/>
    <w:rsid w:val="00341747"/>
    <w:rsid w:val="0034305D"/>
    <w:rsid w:val="003472E4"/>
    <w:rsid w:val="003511AF"/>
    <w:rsid w:val="003522D6"/>
    <w:rsid w:val="003524F7"/>
    <w:rsid w:val="0035564E"/>
    <w:rsid w:val="00356B3A"/>
    <w:rsid w:val="00356FA3"/>
    <w:rsid w:val="0035710F"/>
    <w:rsid w:val="003575A9"/>
    <w:rsid w:val="0036246A"/>
    <w:rsid w:val="003661CF"/>
    <w:rsid w:val="00366CE8"/>
    <w:rsid w:val="00370718"/>
    <w:rsid w:val="00370FCA"/>
    <w:rsid w:val="00371EFC"/>
    <w:rsid w:val="003737B4"/>
    <w:rsid w:val="003749D3"/>
    <w:rsid w:val="003757EC"/>
    <w:rsid w:val="00375E54"/>
    <w:rsid w:val="00375FD0"/>
    <w:rsid w:val="003770BF"/>
    <w:rsid w:val="00381014"/>
    <w:rsid w:val="00381109"/>
    <w:rsid w:val="003821BD"/>
    <w:rsid w:val="003839B5"/>
    <w:rsid w:val="003841AA"/>
    <w:rsid w:val="00384689"/>
    <w:rsid w:val="00386D55"/>
    <w:rsid w:val="00386F8E"/>
    <w:rsid w:val="00387AE4"/>
    <w:rsid w:val="00390A02"/>
    <w:rsid w:val="00390E9E"/>
    <w:rsid w:val="00390F4C"/>
    <w:rsid w:val="003945BC"/>
    <w:rsid w:val="00394FA8"/>
    <w:rsid w:val="00397508"/>
    <w:rsid w:val="003977C6"/>
    <w:rsid w:val="003A1C36"/>
    <w:rsid w:val="003A2371"/>
    <w:rsid w:val="003A242F"/>
    <w:rsid w:val="003A2E60"/>
    <w:rsid w:val="003A56ED"/>
    <w:rsid w:val="003A7D57"/>
    <w:rsid w:val="003B01F6"/>
    <w:rsid w:val="003B0ACD"/>
    <w:rsid w:val="003B3860"/>
    <w:rsid w:val="003B3CE0"/>
    <w:rsid w:val="003B44A4"/>
    <w:rsid w:val="003B5A1C"/>
    <w:rsid w:val="003C02C0"/>
    <w:rsid w:val="003C0906"/>
    <w:rsid w:val="003C0F5B"/>
    <w:rsid w:val="003C13A4"/>
    <w:rsid w:val="003C2225"/>
    <w:rsid w:val="003C277F"/>
    <w:rsid w:val="003C2BC5"/>
    <w:rsid w:val="003C2FD6"/>
    <w:rsid w:val="003C35CB"/>
    <w:rsid w:val="003C5803"/>
    <w:rsid w:val="003C70BD"/>
    <w:rsid w:val="003C7F03"/>
    <w:rsid w:val="003D024A"/>
    <w:rsid w:val="003D22C1"/>
    <w:rsid w:val="003D5F52"/>
    <w:rsid w:val="003D78DB"/>
    <w:rsid w:val="003E1884"/>
    <w:rsid w:val="003E3785"/>
    <w:rsid w:val="003E3BD7"/>
    <w:rsid w:val="003E4267"/>
    <w:rsid w:val="003E58A6"/>
    <w:rsid w:val="003E7C8E"/>
    <w:rsid w:val="003F0620"/>
    <w:rsid w:val="003F1D25"/>
    <w:rsid w:val="003F22D9"/>
    <w:rsid w:val="003F25F6"/>
    <w:rsid w:val="003F3191"/>
    <w:rsid w:val="003F5516"/>
    <w:rsid w:val="003F7A88"/>
    <w:rsid w:val="00401897"/>
    <w:rsid w:val="00401D18"/>
    <w:rsid w:val="00402958"/>
    <w:rsid w:val="0040495B"/>
    <w:rsid w:val="0040495F"/>
    <w:rsid w:val="004054BD"/>
    <w:rsid w:val="00407405"/>
    <w:rsid w:val="0041136C"/>
    <w:rsid w:val="0041198F"/>
    <w:rsid w:val="0041627C"/>
    <w:rsid w:val="0041693F"/>
    <w:rsid w:val="00417E92"/>
    <w:rsid w:val="0042078C"/>
    <w:rsid w:val="004208CA"/>
    <w:rsid w:val="00420B82"/>
    <w:rsid w:val="004221A9"/>
    <w:rsid w:val="00422FAC"/>
    <w:rsid w:val="00423028"/>
    <w:rsid w:val="0042403E"/>
    <w:rsid w:val="004259B1"/>
    <w:rsid w:val="0042607B"/>
    <w:rsid w:val="0042744A"/>
    <w:rsid w:val="00427474"/>
    <w:rsid w:val="00427D58"/>
    <w:rsid w:val="00433B0B"/>
    <w:rsid w:val="00433CFF"/>
    <w:rsid w:val="004364D9"/>
    <w:rsid w:val="0043783C"/>
    <w:rsid w:val="0044112E"/>
    <w:rsid w:val="00442D57"/>
    <w:rsid w:val="0044334E"/>
    <w:rsid w:val="0044650F"/>
    <w:rsid w:val="00447EF9"/>
    <w:rsid w:val="00450EFE"/>
    <w:rsid w:val="00451BA0"/>
    <w:rsid w:val="00452C06"/>
    <w:rsid w:val="0045343A"/>
    <w:rsid w:val="00454AD5"/>
    <w:rsid w:val="0045645A"/>
    <w:rsid w:val="004609F8"/>
    <w:rsid w:val="004614AC"/>
    <w:rsid w:val="0046263E"/>
    <w:rsid w:val="00463284"/>
    <w:rsid w:val="00463436"/>
    <w:rsid w:val="00463815"/>
    <w:rsid w:val="0046407C"/>
    <w:rsid w:val="004640BD"/>
    <w:rsid w:val="0046755E"/>
    <w:rsid w:val="004677B1"/>
    <w:rsid w:val="00467CA8"/>
    <w:rsid w:val="0047016A"/>
    <w:rsid w:val="004708DF"/>
    <w:rsid w:val="00471B36"/>
    <w:rsid w:val="00471F1C"/>
    <w:rsid w:val="00474613"/>
    <w:rsid w:val="00474986"/>
    <w:rsid w:val="00476164"/>
    <w:rsid w:val="00476409"/>
    <w:rsid w:val="00480B15"/>
    <w:rsid w:val="00483506"/>
    <w:rsid w:val="0048441A"/>
    <w:rsid w:val="00484C3C"/>
    <w:rsid w:val="004855A8"/>
    <w:rsid w:val="00486010"/>
    <w:rsid w:val="00486888"/>
    <w:rsid w:val="0049130F"/>
    <w:rsid w:val="00491669"/>
    <w:rsid w:val="00492145"/>
    <w:rsid w:val="00492151"/>
    <w:rsid w:val="0049252F"/>
    <w:rsid w:val="00494D41"/>
    <w:rsid w:val="00496EA0"/>
    <w:rsid w:val="00497632"/>
    <w:rsid w:val="00497982"/>
    <w:rsid w:val="00497C8C"/>
    <w:rsid w:val="004A0447"/>
    <w:rsid w:val="004A3903"/>
    <w:rsid w:val="004A3DD8"/>
    <w:rsid w:val="004A5C3E"/>
    <w:rsid w:val="004A5E0C"/>
    <w:rsid w:val="004A7A1B"/>
    <w:rsid w:val="004B0BB4"/>
    <w:rsid w:val="004B1FA8"/>
    <w:rsid w:val="004B34AF"/>
    <w:rsid w:val="004B4DCC"/>
    <w:rsid w:val="004B5E93"/>
    <w:rsid w:val="004B733E"/>
    <w:rsid w:val="004C0FAA"/>
    <w:rsid w:val="004D0FF2"/>
    <w:rsid w:val="004D1F9E"/>
    <w:rsid w:val="004D5705"/>
    <w:rsid w:val="004D5D51"/>
    <w:rsid w:val="004D5FAD"/>
    <w:rsid w:val="004D6846"/>
    <w:rsid w:val="004E1515"/>
    <w:rsid w:val="004E152D"/>
    <w:rsid w:val="004E2AFA"/>
    <w:rsid w:val="004E3D39"/>
    <w:rsid w:val="004E46A0"/>
    <w:rsid w:val="004E6291"/>
    <w:rsid w:val="004E6401"/>
    <w:rsid w:val="004E72E2"/>
    <w:rsid w:val="004E7F88"/>
    <w:rsid w:val="004F1100"/>
    <w:rsid w:val="004F3553"/>
    <w:rsid w:val="004F44AF"/>
    <w:rsid w:val="004F515A"/>
    <w:rsid w:val="004F5548"/>
    <w:rsid w:val="004F5920"/>
    <w:rsid w:val="004F710F"/>
    <w:rsid w:val="00500221"/>
    <w:rsid w:val="00500E16"/>
    <w:rsid w:val="0050182F"/>
    <w:rsid w:val="00502121"/>
    <w:rsid w:val="00502E9A"/>
    <w:rsid w:val="005030E3"/>
    <w:rsid w:val="005031F8"/>
    <w:rsid w:val="005039BD"/>
    <w:rsid w:val="00506316"/>
    <w:rsid w:val="00506530"/>
    <w:rsid w:val="0050788A"/>
    <w:rsid w:val="00512335"/>
    <w:rsid w:val="00514AC7"/>
    <w:rsid w:val="00514FB3"/>
    <w:rsid w:val="00516A98"/>
    <w:rsid w:val="00517BE2"/>
    <w:rsid w:val="00520D74"/>
    <w:rsid w:val="00523350"/>
    <w:rsid w:val="00524A25"/>
    <w:rsid w:val="005250D3"/>
    <w:rsid w:val="00526AEA"/>
    <w:rsid w:val="00530EBB"/>
    <w:rsid w:val="00532F6B"/>
    <w:rsid w:val="0053553C"/>
    <w:rsid w:val="005428A4"/>
    <w:rsid w:val="00544C9E"/>
    <w:rsid w:val="005466B9"/>
    <w:rsid w:val="00546E7B"/>
    <w:rsid w:val="00547D56"/>
    <w:rsid w:val="0055001B"/>
    <w:rsid w:val="00550F2E"/>
    <w:rsid w:val="00551450"/>
    <w:rsid w:val="00551FC0"/>
    <w:rsid w:val="00554F56"/>
    <w:rsid w:val="005551FC"/>
    <w:rsid w:val="00556332"/>
    <w:rsid w:val="0055651F"/>
    <w:rsid w:val="0056000E"/>
    <w:rsid w:val="00561CAF"/>
    <w:rsid w:val="005622DA"/>
    <w:rsid w:val="00564B5C"/>
    <w:rsid w:val="0056500B"/>
    <w:rsid w:val="005654E4"/>
    <w:rsid w:val="00566406"/>
    <w:rsid w:val="0056647C"/>
    <w:rsid w:val="00567025"/>
    <w:rsid w:val="005727FF"/>
    <w:rsid w:val="005732F2"/>
    <w:rsid w:val="00574739"/>
    <w:rsid w:val="00575AC5"/>
    <w:rsid w:val="0057602E"/>
    <w:rsid w:val="00580046"/>
    <w:rsid w:val="005813EF"/>
    <w:rsid w:val="00581E7E"/>
    <w:rsid w:val="005855DC"/>
    <w:rsid w:val="005857AD"/>
    <w:rsid w:val="00586283"/>
    <w:rsid w:val="00586F61"/>
    <w:rsid w:val="00593EB0"/>
    <w:rsid w:val="00594930"/>
    <w:rsid w:val="0059692E"/>
    <w:rsid w:val="005A0819"/>
    <w:rsid w:val="005A0E6B"/>
    <w:rsid w:val="005A1588"/>
    <w:rsid w:val="005A2E15"/>
    <w:rsid w:val="005A2EE9"/>
    <w:rsid w:val="005A6781"/>
    <w:rsid w:val="005A6C14"/>
    <w:rsid w:val="005A6CC5"/>
    <w:rsid w:val="005B38BA"/>
    <w:rsid w:val="005B4457"/>
    <w:rsid w:val="005B4677"/>
    <w:rsid w:val="005B4B2A"/>
    <w:rsid w:val="005B545C"/>
    <w:rsid w:val="005B60EC"/>
    <w:rsid w:val="005B7113"/>
    <w:rsid w:val="005B7926"/>
    <w:rsid w:val="005C07CD"/>
    <w:rsid w:val="005C0C5A"/>
    <w:rsid w:val="005C0F03"/>
    <w:rsid w:val="005C1B11"/>
    <w:rsid w:val="005C5AFC"/>
    <w:rsid w:val="005C7A06"/>
    <w:rsid w:val="005C7B51"/>
    <w:rsid w:val="005C7B7F"/>
    <w:rsid w:val="005D0706"/>
    <w:rsid w:val="005D09AA"/>
    <w:rsid w:val="005D1085"/>
    <w:rsid w:val="005D2A33"/>
    <w:rsid w:val="005D2CB4"/>
    <w:rsid w:val="005D3EA4"/>
    <w:rsid w:val="005D48D4"/>
    <w:rsid w:val="005D5C3A"/>
    <w:rsid w:val="005D5DED"/>
    <w:rsid w:val="005D617B"/>
    <w:rsid w:val="005D64C0"/>
    <w:rsid w:val="005D7282"/>
    <w:rsid w:val="005D7BE3"/>
    <w:rsid w:val="005E04C3"/>
    <w:rsid w:val="005E05DE"/>
    <w:rsid w:val="005E1B80"/>
    <w:rsid w:val="005E1E06"/>
    <w:rsid w:val="005E20F5"/>
    <w:rsid w:val="005E3408"/>
    <w:rsid w:val="005E442C"/>
    <w:rsid w:val="005E747E"/>
    <w:rsid w:val="005E756D"/>
    <w:rsid w:val="005F03BA"/>
    <w:rsid w:val="005F23DB"/>
    <w:rsid w:val="005F4C44"/>
    <w:rsid w:val="006015F3"/>
    <w:rsid w:val="00601B9F"/>
    <w:rsid w:val="00602F4E"/>
    <w:rsid w:val="00603F64"/>
    <w:rsid w:val="00604685"/>
    <w:rsid w:val="00604789"/>
    <w:rsid w:val="006056AA"/>
    <w:rsid w:val="00605CC9"/>
    <w:rsid w:val="00605F82"/>
    <w:rsid w:val="00607001"/>
    <w:rsid w:val="006070AC"/>
    <w:rsid w:val="00612214"/>
    <w:rsid w:val="006139D0"/>
    <w:rsid w:val="00613CCA"/>
    <w:rsid w:val="00614726"/>
    <w:rsid w:val="00615720"/>
    <w:rsid w:val="0061617E"/>
    <w:rsid w:val="0062012C"/>
    <w:rsid w:val="0062209E"/>
    <w:rsid w:val="00623DDD"/>
    <w:rsid w:val="006251A0"/>
    <w:rsid w:val="00625EE3"/>
    <w:rsid w:val="00626BAE"/>
    <w:rsid w:val="00627B9F"/>
    <w:rsid w:val="00627DDB"/>
    <w:rsid w:val="00632BB0"/>
    <w:rsid w:val="00633B29"/>
    <w:rsid w:val="00634FBB"/>
    <w:rsid w:val="006358B6"/>
    <w:rsid w:val="0063702C"/>
    <w:rsid w:val="00637312"/>
    <w:rsid w:val="00641E92"/>
    <w:rsid w:val="006422AD"/>
    <w:rsid w:val="0064346D"/>
    <w:rsid w:val="00643DC9"/>
    <w:rsid w:val="00644B60"/>
    <w:rsid w:val="006458A0"/>
    <w:rsid w:val="00645B0A"/>
    <w:rsid w:val="0064615C"/>
    <w:rsid w:val="00653BAC"/>
    <w:rsid w:val="006544FD"/>
    <w:rsid w:val="0065608F"/>
    <w:rsid w:val="00656D0E"/>
    <w:rsid w:val="00657A51"/>
    <w:rsid w:val="00660390"/>
    <w:rsid w:val="00661018"/>
    <w:rsid w:val="00662DDA"/>
    <w:rsid w:val="0066335A"/>
    <w:rsid w:val="006652F2"/>
    <w:rsid w:val="00665F13"/>
    <w:rsid w:val="00667693"/>
    <w:rsid w:val="00667C0C"/>
    <w:rsid w:val="006700D0"/>
    <w:rsid w:val="00672675"/>
    <w:rsid w:val="00674A5D"/>
    <w:rsid w:val="006752BA"/>
    <w:rsid w:val="006763AC"/>
    <w:rsid w:val="00676AE8"/>
    <w:rsid w:val="00677D8D"/>
    <w:rsid w:val="00684BBC"/>
    <w:rsid w:val="00685162"/>
    <w:rsid w:val="00685754"/>
    <w:rsid w:val="00690D0B"/>
    <w:rsid w:val="00691757"/>
    <w:rsid w:val="00691C08"/>
    <w:rsid w:val="0069539A"/>
    <w:rsid w:val="006A2BB5"/>
    <w:rsid w:val="006A3781"/>
    <w:rsid w:val="006A3C81"/>
    <w:rsid w:val="006A5A63"/>
    <w:rsid w:val="006A645F"/>
    <w:rsid w:val="006A7BDE"/>
    <w:rsid w:val="006B1C0C"/>
    <w:rsid w:val="006B3996"/>
    <w:rsid w:val="006B4183"/>
    <w:rsid w:val="006B4640"/>
    <w:rsid w:val="006B4FFE"/>
    <w:rsid w:val="006C07CD"/>
    <w:rsid w:val="006C1D93"/>
    <w:rsid w:val="006C5011"/>
    <w:rsid w:val="006C68D4"/>
    <w:rsid w:val="006D2BF9"/>
    <w:rsid w:val="006D4D04"/>
    <w:rsid w:val="006D5FEB"/>
    <w:rsid w:val="006D73F6"/>
    <w:rsid w:val="006D775A"/>
    <w:rsid w:val="006E0C88"/>
    <w:rsid w:val="006E0FCC"/>
    <w:rsid w:val="006E13B5"/>
    <w:rsid w:val="006E1A81"/>
    <w:rsid w:val="006E410B"/>
    <w:rsid w:val="006E54ED"/>
    <w:rsid w:val="006E6D2C"/>
    <w:rsid w:val="006F0360"/>
    <w:rsid w:val="006F0403"/>
    <w:rsid w:val="006F0C8C"/>
    <w:rsid w:val="006F1413"/>
    <w:rsid w:val="006F41E9"/>
    <w:rsid w:val="006F4D09"/>
    <w:rsid w:val="006F5599"/>
    <w:rsid w:val="006F6144"/>
    <w:rsid w:val="006F6B79"/>
    <w:rsid w:val="007016B3"/>
    <w:rsid w:val="007023F9"/>
    <w:rsid w:val="00702A8C"/>
    <w:rsid w:val="00706BC1"/>
    <w:rsid w:val="007100DF"/>
    <w:rsid w:val="007109FA"/>
    <w:rsid w:val="007116DB"/>
    <w:rsid w:val="00712B47"/>
    <w:rsid w:val="00712D4C"/>
    <w:rsid w:val="0071508A"/>
    <w:rsid w:val="00720216"/>
    <w:rsid w:val="00720945"/>
    <w:rsid w:val="007229A9"/>
    <w:rsid w:val="007237F3"/>
    <w:rsid w:val="00723977"/>
    <w:rsid w:val="00730A5B"/>
    <w:rsid w:val="007314CC"/>
    <w:rsid w:val="00733F0C"/>
    <w:rsid w:val="007343F4"/>
    <w:rsid w:val="00735B18"/>
    <w:rsid w:val="0073603D"/>
    <w:rsid w:val="00737A5C"/>
    <w:rsid w:val="00737D5C"/>
    <w:rsid w:val="007405B3"/>
    <w:rsid w:val="00741080"/>
    <w:rsid w:val="00741DD0"/>
    <w:rsid w:val="007427EB"/>
    <w:rsid w:val="00745C42"/>
    <w:rsid w:val="00747F04"/>
    <w:rsid w:val="00747FBC"/>
    <w:rsid w:val="00750018"/>
    <w:rsid w:val="00752155"/>
    <w:rsid w:val="00752BC9"/>
    <w:rsid w:val="00752C05"/>
    <w:rsid w:val="00755708"/>
    <w:rsid w:val="00756C2B"/>
    <w:rsid w:val="0075794C"/>
    <w:rsid w:val="00760829"/>
    <w:rsid w:val="00761700"/>
    <w:rsid w:val="00762A07"/>
    <w:rsid w:val="00764DC3"/>
    <w:rsid w:val="007665A4"/>
    <w:rsid w:val="007726BE"/>
    <w:rsid w:val="00774092"/>
    <w:rsid w:val="00775C48"/>
    <w:rsid w:val="0078023D"/>
    <w:rsid w:val="007813BB"/>
    <w:rsid w:val="0078142C"/>
    <w:rsid w:val="00781E99"/>
    <w:rsid w:val="0078202F"/>
    <w:rsid w:val="00783A97"/>
    <w:rsid w:val="0078465E"/>
    <w:rsid w:val="00784E23"/>
    <w:rsid w:val="00790DF3"/>
    <w:rsid w:val="00797844"/>
    <w:rsid w:val="007A0EDE"/>
    <w:rsid w:val="007A1CAF"/>
    <w:rsid w:val="007A30E4"/>
    <w:rsid w:val="007A3734"/>
    <w:rsid w:val="007A4B1D"/>
    <w:rsid w:val="007A55A6"/>
    <w:rsid w:val="007A6416"/>
    <w:rsid w:val="007A64EF"/>
    <w:rsid w:val="007A6541"/>
    <w:rsid w:val="007B151C"/>
    <w:rsid w:val="007B2DCD"/>
    <w:rsid w:val="007B3CA2"/>
    <w:rsid w:val="007B43EB"/>
    <w:rsid w:val="007B48DD"/>
    <w:rsid w:val="007B4B5D"/>
    <w:rsid w:val="007B4ED3"/>
    <w:rsid w:val="007B79B3"/>
    <w:rsid w:val="007B7E40"/>
    <w:rsid w:val="007C06E7"/>
    <w:rsid w:val="007C0BF5"/>
    <w:rsid w:val="007C179F"/>
    <w:rsid w:val="007C1A0D"/>
    <w:rsid w:val="007C5468"/>
    <w:rsid w:val="007D01CC"/>
    <w:rsid w:val="007D1B77"/>
    <w:rsid w:val="007D1C65"/>
    <w:rsid w:val="007D2537"/>
    <w:rsid w:val="007E4E90"/>
    <w:rsid w:val="007E5919"/>
    <w:rsid w:val="007F08C5"/>
    <w:rsid w:val="007F0BEA"/>
    <w:rsid w:val="007F1830"/>
    <w:rsid w:val="007F2900"/>
    <w:rsid w:val="007F2ED2"/>
    <w:rsid w:val="007F3259"/>
    <w:rsid w:val="007F47E9"/>
    <w:rsid w:val="007F4D62"/>
    <w:rsid w:val="008006DF"/>
    <w:rsid w:val="008010DD"/>
    <w:rsid w:val="008015A6"/>
    <w:rsid w:val="008039F1"/>
    <w:rsid w:val="00803EC3"/>
    <w:rsid w:val="00805D99"/>
    <w:rsid w:val="00806EE7"/>
    <w:rsid w:val="008070A4"/>
    <w:rsid w:val="00810C0E"/>
    <w:rsid w:val="00810D67"/>
    <w:rsid w:val="00812A09"/>
    <w:rsid w:val="00815531"/>
    <w:rsid w:val="0081690F"/>
    <w:rsid w:val="00816F56"/>
    <w:rsid w:val="008219E8"/>
    <w:rsid w:val="00822C9F"/>
    <w:rsid w:val="0082328C"/>
    <w:rsid w:val="00823E59"/>
    <w:rsid w:val="008249B7"/>
    <w:rsid w:val="00825B35"/>
    <w:rsid w:val="008263E6"/>
    <w:rsid w:val="00826B13"/>
    <w:rsid w:val="008303DC"/>
    <w:rsid w:val="00831A22"/>
    <w:rsid w:val="00832166"/>
    <w:rsid w:val="00835503"/>
    <w:rsid w:val="00835680"/>
    <w:rsid w:val="008356F2"/>
    <w:rsid w:val="00837362"/>
    <w:rsid w:val="008376DE"/>
    <w:rsid w:val="008378BB"/>
    <w:rsid w:val="00840284"/>
    <w:rsid w:val="00841C30"/>
    <w:rsid w:val="00842870"/>
    <w:rsid w:val="00847BFF"/>
    <w:rsid w:val="00850572"/>
    <w:rsid w:val="008509F9"/>
    <w:rsid w:val="00850CC2"/>
    <w:rsid w:val="0085154D"/>
    <w:rsid w:val="00851619"/>
    <w:rsid w:val="00855672"/>
    <w:rsid w:val="00855847"/>
    <w:rsid w:val="00856E33"/>
    <w:rsid w:val="00866625"/>
    <w:rsid w:val="00870131"/>
    <w:rsid w:val="008718BF"/>
    <w:rsid w:val="00872216"/>
    <w:rsid w:val="008740F6"/>
    <w:rsid w:val="00874559"/>
    <w:rsid w:val="00875676"/>
    <w:rsid w:val="00876815"/>
    <w:rsid w:val="00877684"/>
    <w:rsid w:val="008776AF"/>
    <w:rsid w:val="0088186E"/>
    <w:rsid w:val="0088501B"/>
    <w:rsid w:val="00885DA5"/>
    <w:rsid w:val="0088632B"/>
    <w:rsid w:val="0088643C"/>
    <w:rsid w:val="0088718D"/>
    <w:rsid w:val="00887FFC"/>
    <w:rsid w:val="0089073A"/>
    <w:rsid w:val="00892EA4"/>
    <w:rsid w:val="00896120"/>
    <w:rsid w:val="00896324"/>
    <w:rsid w:val="008979B5"/>
    <w:rsid w:val="008A6A9E"/>
    <w:rsid w:val="008A704B"/>
    <w:rsid w:val="008B1654"/>
    <w:rsid w:val="008B1A06"/>
    <w:rsid w:val="008B2753"/>
    <w:rsid w:val="008B6619"/>
    <w:rsid w:val="008B6CEC"/>
    <w:rsid w:val="008B6FCD"/>
    <w:rsid w:val="008B7CAF"/>
    <w:rsid w:val="008C7A4E"/>
    <w:rsid w:val="008C7D21"/>
    <w:rsid w:val="008D1414"/>
    <w:rsid w:val="008D5EE6"/>
    <w:rsid w:val="008D732C"/>
    <w:rsid w:val="008D7413"/>
    <w:rsid w:val="008D7605"/>
    <w:rsid w:val="008D7FBD"/>
    <w:rsid w:val="008E0198"/>
    <w:rsid w:val="008E12B5"/>
    <w:rsid w:val="008E1D7A"/>
    <w:rsid w:val="008E3A48"/>
    <w:rsid w:val="008E4F0B"/>
    <w:rsid w:val="008E5160"/>
    <w:rsid w:val="008E5957"/>
    <w:rsid w:val="008E76FD"/>
    <w:rsid w:val="008F19C7"/>
    <w:rsid w:val="008F2F47"/>
    <w:rsid w:val="008F4808"/>
    <w:rsid w:val="008F6F98"/>
    <w:rsid w:val="008F7A1E"/>
    <w:rsid w:val="008F7C1E"/>
    <w:rsid w:val="0090086E"/>
    <w:rsid w:val="009013D9"/>
    <w:rsid w:val="0090423B"/>
    <w:rsid w:val="0090706E"/>
    <w:rsid w:val="009072F4"/>
    <w:rsid w:val="0090737B"/>
    <w:rsid w:val="00911645"/>
    <w:rsid w:val="00914768"/>
    <w:rsid w:val="00914F92"/>
    <w:rsid w:val="0091705B"/>
    <w:rsid w:val="009176E9"/>
    <w:rsid w:val="00917F3E"/>
    <w:rsid w:val="00922857"/>
    <w:rsid w:val="00922B38"/>
    <w:rsid w:val="00922FAD"/>
    <w:rsid w:val="00923E22"/>
    <w:rsid w:val="009267C4"/>
    <w:rsid w:val="0092697E"/>
    <w:rsid w:val="00930A78"/>
    <w:rsid w:val="0093254A"/>
    <w:rsid w:val="00932C42"/>
    <w:rsid w:val="009340F1"/>
    <w:rsid w:val="0093437A"/>
    <w:rsid w:val="00935CFD"/>
    <w:rsid w:val="0093641E"/>
    <w:rsid w:val="00936792"/>
    <w:rsid w:val="00937006"/>
    <w:rsid w:val="00937D7D"/>
    <w:rsid w:val="00941CCB"/>
    <w:rsid w:val="009469C1"/>
    <w:rsid w:val="00946C1A"/>
    <w:rsid w:val="00952185"/>
    <w:rsid w:val="00952AD4"/>
    <w:rsid w:val="00952D63"/>
    <w:rsid w:val="00953EB0"/>
    <w:rsid w:val="00954033"/>
    <w:rsid w:val="0095479A"/>
    <w:rsid w:val="00954865"/>
    <w:rsid w:val="009556A1"/>
    <w:rsid w:val="00956B60"/>
    <w:rsid w:val="00957694"/>
    <w:rsid w:val="00965BD0"/>
    <w:rsid w:val="00970915"/>
    <w:rsid w:val="009713F0"/>
    <w:rsid w:val="00976928"/>
    <w:rsid w:val="00976FCF"/>
    <w:rsid w:val="0098360C"/>
    <w:rsid w:val="00984647"/>
    <w:rsid w:val="00984B9B"/>
    <w:rsid w:val="009917A0"/>
    <w:rsid w:val="009920A5"/>
    <w:rsid w:val="0099592B"/>
    <w:rsid w:val="00996972"/>
    <w:rsid w:val="00996E8A"/>
    <w:rsid w:val="009A0DCD"/>
    <w:rsid w:val="009B1636"/>
    <w:rsid w:val="009B1A9E"/>
    <w:rsid w:val="009B2EEE"/>
    <w:rsid w:val="009B3A3B"/>
    <w:rsid w:val="009B49DA"/>
    <w:rsid w:val="009C06F1"/>
    <w:rsid w:val="009C30DB"/>
    <w:rsid w:val="009C324D"/>
    <w:rsid w:val="009C355F"/>
    <w:rsid w:val="009C4144"/>
    <w:rsid w:val="009C5518"/>
    <w:rsid w:val="009C56C9"/>
    <w:rsid w:val="009C5A5B"/>
    <w:rsid w:val="009D05F1"/>
    <w:rsid w:val="009D2F04"/>
    <w:rsid w:val="009D492E"/>
    <w:rsid w:val="009D5B02"/>
    <w:rsid w:val="009D6297"/>
    <w:rsid w:val="009E1FA5"/>
    <w:rsid w:val="009E240A"/>
    <w:rsid w:val="009E2C9E"/>
    <w:rsid w:val="009E345F"/>
    <w:rsid w:val="009E3D20"/>
    <w:rsid w:val="009E6590"/>
    <w:rsid w:val="009E66E7"/>
    <w:rsid w:val="009E7298"/>
    <w:rsid w:val="009F0368"/>
    <w:rsid w:val="009F23D7"/>
    <w:rsid w:val="009F2748"/>
    <w:rsid w:val="009F3B5F"/>
    <w:rsid w:val="009F3D87"/>
    <w:rsid w:val="009F5908"/>
    <w:rsid w:val="009F62B1"/>
    <w:rsid w:val="009F777A"/>
    <w:rsid w:val="009F7B68"/>
    <w:rsid w:val="009F7D30"/>
    <w:rsid w:val="00A0087A"/>
    <w:rsid w:val="00A017F9"/>
    <w:rsid w:val="00A01C11"/>
    <w:rsid w:val="00A01EB9"/>
    <w:rsid w:val="00A032B3"/>
    <w:rsid w:val="00A04262"/>
    <w:rsid w:val="00A0549C"/>
    <w:rsid w:val="00A05500"/>
    <w:rsid w:val="00A10AB9"/>
    <w:rsid w:val="00A11849"/>
    <w:rsid w:val="00A11A13"/>
    <w:rsid w:val="00A12EB6"/>
    <w:rsid w:val="00A13833"/>
    <w:rsid w:val="00A1615B"/>
    <w:rsid w:val="00A16F02"/>
    <w:rsid w:val="00A20651"/>
    <w:rsid w:val="00A20933"/>
    <w:rsid w:val="00A220F9"/>
    <w:rsid w:val="00A24B88"/>
    <w:rsid w:val="00A31474"/>
    <w:rsid w:val="00A320C4"/>
    <w:rsid w:val="00A33F77"/>
    <w:rsid w:val="00A35A9B"/>
    <w:rsid w:val="00A3635E"/>
    <w:rsid w:val="00A405B1"/>
    <w:rsid w:val="00A4131B"/>
    <w:rsid w:val="00A430B7"/>
    <w:rsid w:val="00A4414F"/>
    <w:rsid w:val="00A4441B"/>
    <w:rsid w:val="00A45502"/>
    <w:rsid w:val="00A4790B"/>
    <w:rsid w:val="00A47FFA"/>
    <w:rsid w:val="00A5114C"/>
    <w:rsid w:val="00A514D5"/>
    <w:rsid w:val="00A556AA"/>
    <w:rsid w:val="00A56452"/>
    <w:rsid w:val="00A56D92"/>
    <w:rsid w:val="00A57D81"/>
    <w:rsid w:val="00A57F09"/>
    <w:rsid w:val="00A613E9"/>
    <w:rsid w:val="00A615D5"/>
    <w:rsid w:val="00A62B46"/>
    <w:rsid w:val="00A648DC"/>
    <w:rsid w:val="00A6750C"/>
    <w:rsid w:val="00A70C13"/>
    <w:rsid w:val="00A70C81"/>
    <w:rsid w:val="00A72C4F"/>
    <w:rsid w:val="00A7307C"/>
    <w:rsid w:val="00A73D2D"/>
    <w:rsid w:val="00A769E8"/>
    <w:rsid w:val="00A80B05"/>
    <w:rsid w:val="00A81060"/>
    <w:rsid w:val="00A820B5"/>
    <w:rsid w:val="00A84028"/>
    <w:rsid w:val="00A8576B"/>
    <w:rsid w:val="00A85D9A"/>
    <w:rsid w:val="00A873DB"/>
    <w:rsid w:val="00A87CA2"/>
    <w:rsid w:val="00A909A5"/>
    <w:rsid w:val="00A91C5F"/>
    <w:rsid w:val="00A922D0"/>
    <w:rsid w:val="00A9269F"/>
    <w:rsid w:val="00A93F51"/>
    <w:rsid w:val="00A945D6"/>
    <w:rsid w:val="00A953D5"/>
    <w:rsid w:val="00A95725"/>
    <w:rsid w:val="00A95D4E"/>
    <w:rsid w:val="00A974FB"/>
    <w:rsid w:val="00A979E0"/>
    <w:rsid w:val="00A97CC9"/>
    <w:rsid w:val="00AA1817"/>
    <w:rsid w:val="00AA1DD5"/>
    <w:rsid w:val="00AA3962"/>
    <w:rsid w:val="00AA3B90"/>
    <w:rsid w:val="00AA5741"/>
    <w:rsid w:val="00AA7CA9"/>
    <w:rsid w:val="00AB1525"/>
    <w:rsid w:val="00AB283A"/>
    <w:rsid w:val="00AB305A"/>
    <w:rsid w:val="00AB3142"/>
    <w:rsid w:val="00AB49F5"/>
    <w:rsid w:val="00AB4D01"/>
    <w:rsid w:val="00AB53EE"/>
    <w:rsid w:val="00AB5606"/>
    <w:rsid w:val="00AB6F72"/>
    <w:rsid w:val="00AB7C88"/>
    <w:rsid w:val="00AC37FF"/>
    <w:rsid w:val="00AC3BA7"/>
    <w:rsid w:val="00AC59AC"/>
    <w:rsid w:val="00AC6D0A"/>
    <w:rsid w:val="00AC6F7F"/>
    <w:rsid w:val="00AD08E3"/>
    <w:rsid w:val="00AD1119"/>
    <w:rsid w:val="00AD4320"/>
    <w:rsid w:val="00AD4721"/>
    <w:rsid w:val="00AD645C"/>
    <w:rsid w:val="00AD792D"/>
    <w:rsid w:val="00AE0A1F"/>
    <w:rsid w:val="00AE1126"/>
    <w:rsid w:val="00AE2601"/>
    <w:rsid w:val="00AE2FD0"/>
    <w:rsid w:val="00AE330E"/>
    <w:rsid w:val="00AE51B0"/>
    <w:rsid w:val="00AE5772"/>
    <w:rsid w:val="00AE60A3"/>
    <w:rsid w:val="00AE642F"/>
    <w:rsid w:val="00AE64EE"/>
    <w:rsid w:val="00AE6E9F"/>
    <w:rsid w:val="00AF0B08"/>
    <w:rsid w:val="00AF123D"/>
    <w:rsid w:val="00AF2678"/>
    <w:rsid w:val="00AF7482"/>
    <w:rsid w:val="00B001C5"/>
    <w:rsid w:val="00B012A4"/>
    <w:rsid w:val="00B022EA"/>
    <w:rsid w:val="00B0340D"/>
    <w:rsid w:val="00B059A5"/>
    <w:rsid w:val="00B0627E"/>
    <w:rsid w:val="00B06C57"/>
    <w:rsid w:val="00B10CD9"/>
    <w:rsid w:val="00B136CF"/>
    <w:rsid w:val="00B160A4"/>
    <w:rsid w:val="00B16102"/>
    <w:rsid w:val="00B17E63"/>
    <w:rsid w:val="00B224C1"/>
    <w:rsid w:val="00B22CB1"/>
    <w:rsid w:val="00B23AD3"/>
    <w:rsid w:val="00B23C8F"/>
    <w:rsid w:val="00B26C38"/>
    <w:rsid w:val="00B30206"/>
    <w:rsid w:val="00B32518"/>
    <w:rsid w:val="00B33713"/>
    <w:rsid w:val="00B35088"/>
    <w:rsid w:val="00B41AA0"/>
    <w:rsid w:val="00B42F70"/>
    <w:rsid w:val="00B4330E"/>
    <w:rsid w:val="00B437F2"/>
    <w:rsid w:val="00B43FD2"/>
    <w:rsid w:val="00B46049"/>
    <w:rsid w:val="00B46192"/>
    <w:rsid w:val="00B4676B"/>
    <w:rsid w:val="00B468C5"/>
    <w:rsid w:val="00B47E2D"/>
    <w:rsid w:val="00B53F27"/>
    <w:rsid w:val="00B54AC7"/>
    <w:rsid w:val="00B5621F"/>
    <w:rsid w:val="00B56745"/>
    <w:rsid w:val="00B56D50"/>
    <w:rsid w:val="00B578C7"/>
    <w:rsid w:val="00B57AED"/>
    <w:rsid w:val="00B57B0A"/>
    <w:rsid w:val="00B6074E"/>
    <w:rsid w:val="00B636C7"/>
    <w:rsid w:val="00B63F00"/>
    <w:rsid w:val="00B64A2F"/>
    <w:rsid w:val="00B660F2"/>
    <w:rsid w:val="00B67290"/>
    <w:rsid w:val="00B67503"/>
    <w:rsid w:val="00B7095A"/>
    <w:rsid w:val="00B725E0"/>
    <w:rsid w:val="00B73231"/>
    <w:rsid w:val="00B75D50"/>
    <w:rsid w:val="00B81FAF"/>
    <w:rsid w:val="00B82557"/>
    <w:rsid w:val="00B836E1"/>
    <w:rsid w:val="00B83C19"/>
    <w:rsid w:val="00B858A6"/>
    <w:rsid w:val="00B86CF3"/>
    <w:rsid w:val="00B873EE"/>
    <w:rsid w:val="00B90C59"/>
    <w:rsid w:val="00B931B6"/>
    <w:rsid w:val="00B93688"/>
    <w:rsid w:val="00B939FC"/>
    <w:rsid w:val="00B95181"/>
    <w:rsid w:val="00B968D8"/>
    <w:rsid w:val="00B97691"/>
    <w:rsid w:val="00BA5C94"/>
    <w:rsid w:val="00BB046D"/>
    <w:rsid w:val="00BB0BD7"/>
    <w:rsid w:val="00BB184C"/>
    <w:rsid w:val="00BB1E81"/>
    <w:rsid w:val="00BB3BB8"/>
    <w:rsid w:val="00BC0A9A"/>
    <w:rsid w:val="00BC1F81"/>
    <w:rsid w:val="00BC48E0"/>
    <w:rsid w:val="00BC52C0"/>
    <w:rsid w:val="00BC5B9E"/>
    <w:rsid w:val="00BC60CE"/>
    <w:rsid w:val="00BC6577"/>
    <w:rsid w:val="00BC6835"/>
    <w:rsid w:val="00BC7C65"/>
    <w:rsid w:val="00BD221F"/>
    <w:rsid w:val="00BD6B83"/>
    <w:rsid w:val="00BD6ECE"/>
    <w:rsid w:val="00BE0635"/>
    <w:rsid w:val="00BE398F"/>
    <w:rsid w:val="00BE4A80"/>
    <w:rsid w:val="00BE5424"/>
    <w:rsid w:val="00BE5FF5"/>
    <w:rsid w:val="00BF098E"/>
    <w:rsid w:val="00BF104E"/>
    <w:rsid w:val="00BF1CFC"/>
    <w:rsid w:val="00BF4133"/>
    <w:rsid w:val="00BF4DE0"/>
    <w:rsid w:val="00BF6B97"/>
    <w:rsid w:val="00C04BC3"/>
    <w:rsid w:val="00C04C4E"/>
    <w:rsid w:val="00C113D0"/>
    <w:rsid w:val="00C11B58"/>
    <w:rsid w:val="00C11C27"/>
    <w:rsid w:val="00C15541"/>
    <w:rsid w:val="00C17C88"/>
    <w:rsid w:val="00C17CB2"/>
    <w:rsid w:val="00C20F72"/>
    <w:rsid w:val="00C216D8"/>
    <w:rsid w:val="00C262EE"/>
    <w:rsid w:val="00C26F5B"/>
    <w:rsid w:val="00C27AEF"/>
    <w:rsid w:val="00C31215"/>
    <w:rsid w:val="00C32196"/>
    <w:rsid w:val="00C3476D"/>
    <w:rsid w:val="00C35F6A"/>
    <w:rsid w:val="00C36480"/>
    <w:rsid w:val="00C423A6"/>
    <w:rsid w:val="00C4280A"/>
    <w:rsid w:val="00C436B2"/>
    <w:rsid w:val="00C43910"/>
    <w:rsid w:val="00C44800"/>
    <w:rsid w:val="00C456C2"/>
    <w:rsid w:val="00C47437"/>
    <w:rsid w:val="00C51A9C"/>
    <w:rsid w:val="00C52AA2"/>
    <w:rsid w:val="00C55378"/>
    <w:rsid w:val="00C56529"/>
    <w:rsid w:val="00C56824"/>
    <w:rsid w:val="00C62313"/>
    <w:rsid w:val="00C62A2B"/>
    <w:rsid w:val="00C6568F"/>
    <w:rsid w:val="00C66711"/>
    <w:rsid w:val="00C66913"/>
    <w:rsid w:val="00C7264E"/>
    <w:rsid w:val="00C73A17"/>
    <w:rsid w:val="00C743FA"/>
    <w:rsid w:val="00C74975"/>
    <w:rsid w:val="00C7497E"/>
    <w:rsid w:val="00C74E26"/>
    <w:rsid w:val="00C757FC"/>
    <w:rsid w:val="00C811F4"/>
    <w:rsid w:val="00C826C7"/>
    <w:rsid w:val="00C82FCA"/>
    <w:rsid w:val="00C839A6"/>
    <w:rsid w:val="00C84E6F"/>
    <w:rsid w:val="00C86FC8"/>
    <w:rsid w:val="00C90BEF"/>
    <w:rsid w:val="00C90EA5"/>
    <w:rsid w:val="00C92EFB"/>
    <w:rsid w:val="00C95384"/>
    <w:rsid w:val="00C95C9B"/>
    <w:rsid w:val="00C977F9"/>
    <w:rsid w:val="00CA0693"/>
    <w:rsid w:val="00CA0D4E"/>
    <w:rsid w:val="00CA2168"/>
    <w:rsid w:val="00CA2C4D"/>
    <w:rsid w:val="00CA2CD4"/>
    <w:rsid w:val="00CA4080"/>
    <w:rsid w:val="00CA520C"/>
    <w:rsid w:val="00CA588F"/>
    <w:rsid w:val="00CA597B"/>
    <w:rsid w:val="00CA679A"/>
    <w:rsid w:val="00CA68D6"/>
    <w:rsid w:val="00CA73F2"/>
    <w:rsid w:val="00CA7A25"/>
    <w:rsid w:val="00CB0A3A"/>
    <w:rsid w:val="00CB133C"/>
    <w:rsid w:val="00CB17AF"/>
    <w:rsid w:val="00CB2DBE"/>
    <w:rsid w:val="00CB2DDB"/>
    <w:rsid w:val="00CB3596"/>
    <w:rsid w:val="00CB38EC"/>
    <w:rsid w:val="00CB514C"/>
    <w:rsid w:val="00CB5EF6"/>
    <w:rsid w:val="00CC2A66"/>
    <w:rsid w:val="00CC2D5B"/>
    <w:rsid w:val="00CC3D95"/>
    <w:rsid w:val="00CC606D"/>
    <w:rsid w:val="00CC6C0A"/>
    <w:rsid w:val="00CC6CEC"/>
    <w:rsid w:val="00CD1ACE"/>
    <w:rsid w:val="00CD487E"/>
    <w:rsid w:val="00CD5D6D"/>
    <w:rsid w:val="00CD622E"/>
    <w:rsid w:val="00CE0816"/>
    <w:rsid w:val="00CE25A6"/>
    <w:rsid w:val="00CE53AE"/>
    <w:rsid w:val="00CE719A"/>
    <w:rsid w:val="00CF0914"/>
    <w:rsid w:val="00CF0E3E"/>
    <w:rsid w:val="00CF31C7"/>
    <w:rsid w:val="00CF352B"/>
    <w:rsid w:val="00CF49F1"/>
    <w:rsid w:val="00CF4A2B"/>
    <w:rsid w:val="00CF594C"/>
    <w:rsid w:val="00CF5B4E"/>
    <w:rsid w:val="00CF6C8C"/>
    <w:rsid w:val="00CF7D88"/>
    <w:rsid w:val="00D00F99"/>
    <w:rsid w:val="00D019B2"/>
    <w:rsid w:val="00D02315"/>
    <w:rsid w:val="00D02F12"/>
    <w:rsid w:val="00D14AB1"/>
    <w:rsid w:val="00D1532D"/>
    <w:rsid w:val="00D15862"/>
    <w:rsid w:val="00D16755"/>
    <w:rsid w:val="00D16B91"/>
    <w:rsid w:val="00D2174C"/>
    <w:rsid w:val="00D21E59"/>
    <w:rsid w:val="00D22854"/>
    <w:rsid w:val="00D229A8"/>
    <w:rsid w:val="00D229BE"/>
    <w:rsid w:val="00D229F6"/>
    <w:rsid w:val="00D22C0C"/>
    <w:rsid w:val="00D255EA"/>
    <w:rsid w:val="00D25C24"/>
    <w:rsid w:val="00D2691D"/>
    <w:rsid w:val="00D27545"/>
    <w:rsid w:val="00D31653"/>
    <w:rsid w:val="00D3233A"/>
    <w:rsid w:val="00D34371"/>
    <w:rsid w:val="00D3491D"/>
    <w:rsid w:val="00D35599"/>
    <w:rsid w:val="00D410E4"/>
    <w:rsid w:val="00D42778"/>
    <w:rsid w:val="00D43BEF"/>
    <w:rsid w:val="00D45247"/>
    <w:rsid w:val="00D469BB"/>
    <w:rsid w:val="00D509E3"/>
    <w:rsid w:val="00D51014"/>
    <w:rsid w:val="00D51996"/>
    <w:rsid w:val="00D52A58"/>
    <w:rsid w:val="00D53660"/>
    <w:rsid w:val="00D53664"/>
    <w:rsid w:val="00D53756"/>
    <w:rsid w:val="00D53E0B"/>
    <w:rsid w:val="00D546D2"/>
    <w:rsid w:val="00D54B83"/>
    <w:rsid w:val="00D565C9"/>
    <w:rsid w:val="00D56F99"/>
    <w:rsid w:val="00D5706D"/>
    <w:rsid w:val="00D61D6C"/>
    <w:rsid w:val="00D654A9"/>
    <w:rsid w:val="00D657A5"/>
    <w:rsid w:val="00D66078"/>
    <w:rsid w:val="00D67B46"/>
    <w:rsid w:val="00D71666"/>
    <w:rsid w:val="00D71BAC"/>
    <w:rsid w:val="00D72776"/>
    <w:rsid w:val="00D72FB5"/>
    <w:rsid w:val="00D76597"/>
    <w:rsid w:val="00D76FA3"/>
    <w:rsid w:val="00D77FDB"/>
    <w:rsid w:val="00D81830"/>
    <w:rsid w:val="00D81B67"/>
    <w:rsid w:val="00D8230B"/>
    <w:rsid w:val="00D832AA"/>
    <w:rsid w:val="00D83495"/>
    <w:rsid w:val="00D83592"/>
    <w:rsid w:val="00D856DC"/>
    <w:rsid w:val="00D86534"/>
    <w:rsid w:val="00D8693F"/>
    <w:rsid w:val="00D87DF6"/>
    <w:rsid w:val="00D92215"/>
    <w:rsid w:val="00DA3CFD"/>
    <w:rsid w:val="00DA425B"/>
    <w:rsid w:val="00DA4A20"/>
    <w:rsid w:val="00DA4B07"/>
    <w:rsid w:val="00DA6C51"/>
    <w:rsid w:val="00DA7C86"/>
    <w:rsid w:val="00DB05D4"/>
    <w:rsid w:val="00DB068E"/>
    <w:rsid w:val="00DB0AD1"/>
    <w:rsid w:val="00DB2F22"/>
    <w:rsid w:val="00DB3459"/>
    <w:rsid w:val="00DB3FFD"/>
    <w:rsid w:val="00DB403F"/>
    <w:rsid w:val="00DB645E"/>
    <w:rsid w:val="00DB7486"/>
    <w:rsid w:val="00DC5230"/>
    <w:rsid w:val="00DC672E"/>
    <w:rsid w:val="00DC7652"/>
    <w:rsid w:val="00DD20DD"/>
    <w:rsid w:val="00DD3795"/>
    <w:rsid w:val="00DD3D9A"/>
    <w:rsid w:val="00DD49D4"/>
    <w:rsid w:val="00DD667E"/>
    <w:rsid w:val="00DD7588"/>
    <w:rsid w:val="00DD7A65"/>
    <w:rsid w:val="00DE049D"/>
    <w:rsid w:val="00DE0707"/>
    <w:rsid w:val="00DE0DF3"/>
    <w:rsid w:val="00DE16C5"/>
    <w:rsid w:val="00DE1749"/>
    <w:rsid w:val="00DE3BFF"/>
    <w:rsid w:val="00DE40BB"/>
    <w:rsid w:val="00DE4FF3"/>
    <w:rsid w:val="00DE5FDE"/>
    <w:rsid w:val="00DE6447"/>
    <w:rsid w:val="00DF096B"/>
    <w:rsid w:val="00DF1531"/>
    <w:rsid w:val="00DF1EF3"/>
    <w:rsid w:val="00DF2271"/>
    <w:rsid w:val="00DF2C58"/>
    <w:rsid w:val="00DF3979"/>
    <w:rsid w:val="00DF4A0A"/>
    <w:rsid w:val="00DF56ED"/>
    <w:rsid w:val="00DF5EA8"/>
    <w:rsid w:val="00E00B4E"/>
    <w:rsid w:val="00E00C70"/>
    <w:rsid w:val="00E010FD"/>
    <w:rsid w:val="00E01ACF"/>
    <w:rsid w:val="00E03C09"/>
    <w:rsid w:val="00E03F3D"/>
    <w:rsid w:val="00E0497D"/>
    <w:rsid w:val="00E04A70"/>
    <w:rsid w:val="00E0561D"/>
    <w:rsid w:val="00E05AB1"/>
    <w:rsid w:val="00E05FDB"/>
    <w:rsid w:val="00E10239"/>
    <w:rsid w:val="00E13693"/>
    <w:rsid w:val="00E15251"/>
    <w:rsid w:val="00E15DD7"/>
    <w:rsid w:val="00E177B8"/>
    <w:rsid w:val="00E17835"/>
    <w:rsid w:val="00E17A28"/>
    <w:rsid w:val="00E210F3"/>
    <w:rsid w:val="00E23C0B"/>
    <w:rsid w:val="00E23D78"/>
    <w:rsid w:val="00E23EBD"/>
    <w:rsid w:val="00E244FF"/>
    <w:rsid w:val="00E25201"/>
    <w:rsid w:val="00E27429"/>
    <w:rsid w:val="00E276BD"/>
    <w:rsid w:val="00E30B3D"/>
    <w:rsid w:val="00E31A52"/>
    <w:rsid w:val="00E328BF"/>
    <w:rsid w:val="00E33A8D"/>
    <w:rsid w:val="00E368A7"/>
    <w:rsid w:val="00E372E5"/>
    <w:rsid w:val="00E373D1"/>
    <w:rsid w:val="00E4197A"/>
    <w:rsid w:val="00E41A9B"/>
    <w:rsid w:val="00E43D2A"/>
    <w:rsid w:val="00E454ED"/>
    <w:rsid w:val="00E459D1"/>
    <w:rsid w:val="00E465E2"/>
    <w:rsid w:val="00E4679C"/>
    <w:rsid w:val="00E47ECD"/>
    <w:rsid w:val="00E516DA"/>
    <w:rsid w:val="00E5345C"/>
    <w:rsid w:val="00E568F9"/>
    <w:rsid w:val="00E62C9C"/>
    <w:rsid w:val="00E6454B"/>
    <w:rsid w:val="00E64A7E"/>
    <w:rsid w:val="00E675EA"/>
    <w:rsid w:val="00E7077A"/>
    <w:rsid w:val="00E716FC"/>
    <w:rsid w:val="00E72B3B"/>
    <w:rsid w:val="00E73833"/>
    <w:rsid w:val="00E74C09"/>
    <w:rsid w:val="00E75ACE"/>
    <w:rsid w:val="00E76EED"/>
    <w:rsid w:val="00E77DCA"/>
    <w:rsid w:val="00E804A7"/>
    <w:rsid w:val="00E80C92"/>
    <w:rsid w:val="00E81888"/>
    <w:rsid w:val="00E83B29"/>
    <w:rsid w:val="00E84118"/>
    <w:rsid w:val="00E864A4"/>
    <w:rsid w:val="00E86DDB"/>
    <w:rsid w:val="00E877DF"/>
    <w:rsid w:val="00E909B8"/>
    <w:rsid w:val="00E91496"/>
    <w:rsid w:val="00E919DA"/>
    <w:rsid w:val="00E92982"/>
    <w:rsid w:val="00E92ADC"/>
    <w:rsid w:val="00E9331C"/>
    <w:rsid w:val="00E96D0D"/>
    <w:rsid w:val="00EA1E5D"/>
    <w:rsid w:val="00EA477D"/>
    <w:rsid w:val="00EA515C"/>
    <w:rsid w:val="00EA5B24"/>
    <w:rsid w:val="00EA60AF"/>
    <w:rsid w:val="00EA72BD"/>
    <w:rsid w:val="00EA73C2"/>
    <w:rsid w:val="00EA7996"/>
    <w:rsid w:val="00EB4DF2"/>
    <w:rsid w:val="00EB6106"/>
    <w:rsid w:val="00EB65FC"/>
    <w:rsid w:val="00EC3ABE"/>
    <w:rsid w:val="00EC4A0D"/>
    <w:rsid w:val="00EC4AAB"/>
    <w:rsid w:val="00EC5962"/>
    <w:rsid w:val="00EC6E87"/>
    <w:rsid w:val="00EC7EEA"/>
    <w:rsid w:val="00ED0B0F"/>
    <w:rsid w:val="00ED6615"/>
    <w:rsid w:val="00ED6D59"/>
    <w:rsid w:val="00ED7BA0"/>
    <w:rsid w:val="00EE0924"/>
    <w:rsid w:val="00EE1A7B"/>
    <w:rsid w:val="00EE1F4A"/>
    <w:rsid w:val="00EF120C"/>
    <w:rsid w:val="00EF14E6"/>
    <w:rsid w:val="00EF2DA8"/>
    <w:rsid w:val="00EF324A"/>
    <w:rsid w:val="00EF4983"/>
    <w:rsid w:val="00EF4BD2"/>
    <w:rsid w:val="00EF56D6"/>
    <w:rsid w:val="00EF7A67"/>
    <w:rsid w:val="00F009F3"/>
    <w:rsid w:val="00F02D6E"/>
    <w:rsid w:val="00F02D86"/>
    <w:rsid w:val="00F030CB"/>
    <w:rsid w:val="00F03936"/>
    <w:rsid w:val="00F0559F"/>
    <w:rsid w:val="00F05AA6"/>
    <w:rsid w:val="00F073C5"/>
    <w:rsid w:val="00F1003C"/>
    <w:rsid w:val="00F126CD"/>
    <w:rsid w:val="00F12BD1"/>
    <w:rsid w:val="00F1389D"/>
    <w:rsid w:val="00F14437"/>
    <w:rsid w:val="00F144EC"/>
    <w:rsid w:val="00F14598"/>
    <w:rsid w:val="00F153C4"/>
    <w:rsid w:val="00F15545"/>
    <w:rsid w:val="00F155DC"/>
    <w:rsid w:val="00F17954"/>
    <w:rsid w:val="00F17ACF"/>
    <w:rsid w:val="00F17F4A"/>
    <w:rsid w:val="00F228A5"/>
    <w:rsid w:val="00F247D5"/>
    <w:rsid w:val="00F251B1"/>
    <w:rsid w:val="00F25B68"/>
    <w:rsid w:val="00F25FC2"/>
    <w:rsid w:val="00F27316"/>
    <w:rsid w:val="00F2763B"/>
    <w:rsid w:val="00F34930"/>
    <w:rsid w:val="00F36630"/>
    <w:rsid w:val="00F36D89"/>
    <w:rsid w:val="00F41463"/>
    <w:rsid w:val="00F4199A"/>
    <w:rsid w:val="00F42A24"/>
    <w:rsid w:val="00F42EE3"/>
    <w:rsid w:val="00F43D2B"/>
    <w:rsid w:val="00F4430E"/>
    <w:rsid w:val="00F44414"/>
    <w:rsid w:val="00F473B8"/>
    <w:rsid w:val="00F47AA3"/>
    <w:rsid w:val="00F47C8D"/>
    <w:rsid w:val="00F50267"/>
    <w:rsid w:val="00F526F3"/>
    <w:rsid w:val="00F52866"/>
    <w:rsid w:val="00F53B6A"/>
    <w:rsid w:val="00F556F5"/>
    <w:rsid w:val="00F55963"/>
    <w:rsid w:val="00F56308"/>
    <w:rsid w:val="00F57813"/>
    <w:rsid w:val="00F57A9E"/>
    <w:rsid w:val="00F57B06"/>
    <w:rsid w:val="00F61E2D"/>
    <w:rsid w:val="00F62680"/>
    <w:rsid w:val="00F626E4"/>
    <w:rsid w:val="00F62D6B"/>
    <w:rsid w:val="00F64DE8"/>
    <w:rsid w:val="00F65289"/>
    <w:rsid w:val="00F65891"/>
    <w:rsid w:val="00F65E3D"/>
    <w:rsid w:val="00F667C4"/>
    <w:rsid w:val="00F66EA0"/>
    <w:rsid w:val="00F67847"/>
    <w:rsid w:val="00F704EF"/>
    <w:rsid w:val="00F73111"/>
    <w:rsid w:val="00F74E1E"/>
    <w:rsid w:val="00F7560D"/>
    <w:rsid w:val="00F75723"/>
    <w:rsid w:val="00F763AE"/>
    <w:rsid w:val="00F770FE"/>
    <w:rsid w:val="00F7785E"/>
    <w:rsid w:val="00F8086D"/>
    <w:rsid w:val="00F83AD7"/>
    <w:rsid w:val="00F841E7"/>
    <w:rsid w:val="00F84905"/>
    <w:rsid w:val="00F8518D"/>
    <w:rsid w:val="00F85EE6"/>
    <w:rsid w:val="00F86CF0"/>
    <w:rsid w:val="00F87013"/>
    <w:rsid w:val="00F91A89"/>
    <w:rsid w:val="00F93234"/>
    <w:rsid w:val="00F94996"/>
    <w:rsid w:val="00F9644C"/>
    <w:rsid w:val="00F96ECF"/>
    <w:rsid w:val="00FA141A"/>
    <w:rsid w:val="00FB0B03"/>
    <w:rsid w:val="00FB0BD7"/>
    <w:rsid w:val="00FB1348"/>
    <w:rsid w:val="00FB1ECB"/>
    <w:rsid w:val="00FB2670"/>
    <w:rsid w:val="00FB42DD"/>
    <w:rsid w:val="00FB467C"/>
    <w:rsid w:val="00FB4D1B"/>
    <w:rsid w:val="00FB579B"/>
    <w:rsid w:val="00FB5C67"/>
    <w:rsid w:val="00FB6495"/>
    <w:rsid w:val="00FC181E"/>
    <w:rsid w:val="00FC1901"/>
    <w:rsid w:val="00FC580B"/>
    <w:rsid w:val="00FC5966"/>
    <w:rsid w:val="00FC7530"/>
    <w:rsid w:val="00FD0C00"/>
    <w:rsid w:val="00FD30A5"/>
    <w:rsid w:val="00FD4479"/>
    <w:rsid w:val="00FD6904"/>
    <w:rsid w:val="00FD6C37"/>
    <w:rsid w:val="00FE4762"/>
    <w:rsid w:val="00FF1ECC"/>
    <w:rsid w:val="00FF3BB0"/>
    <w:rsid w:val="00FF3CA1"/>
    <w:rsid w:val="00FF5423"/>
    <w:rsid w:val="00FF5654"/>
    <w:rsid w:val="00FF758D"/>
    <w:rsid w:val="00FF783C"/>
    <w:rsid w:val="00FF7C70"/>
    <w:rsid w:val="03A26116"/>
    <w:rsid w:val="1358236C"/>
    <w:rsid w:val="227E39E6"/>
    <w:rsid w:val="2C1A5490"/>
    <w:rsid w:val="2ED32C28"/>
    <w:rsid w:val="2F080EB4"/>
    <w:rsid w:val="2F4D14B8"/>
    <w:rsid w:val="309539E4"/>
    <w:rsid w:val="35532073"/>
    <w:rsid w:val="35A676C5"/>
    <w:rsid w:val="363B6299"/>
    <w:rsid w:val="36AE3C9A"/>
    <w:rsid w:val="3E427886"/>
    <w:rsid w:val="43C228E4"/>
    <w:rsid w:val="4DE132DD"/>
    <w:rsid w:val="51E90A2C"/>
    <w:rsid w:val="573C048B"/>
    <w:rsid w:val="583C2E90"/>
    <w:rsid w:val="59704E33"/>
    <w:rsid w:val="5E143830"/>
    <w:rsid w:val="609B5133"/>
    <w:rsid w:val="61E84F3E"/>
    <w:rsid w:val="65135EBB"/>
    <w:rsid w:val="65415130"/>
    <w:rsid w:val="6D3D7DF2"/>
    <w:rsid w:val="7959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 w:cs="Times New Roman"/>
      <w:kern w:val="2"/>
      <w:sz w:val="32"/>
      <w:lang w:val="en-US" w:eastAsia="zh-CN" w:bidi="ar-SA"/>
    </w:rPr>
  </w:style>
  <w:style w:type="paragraph" w:styleId="2">
    <w:name w:val="heading 1"/>
    <w:basedOn w:val="1"/>
    <w:next w:val="1"/>
    <w:link w:val="31"/>
    <w:qFormat/>
    <w:uiPriority w:val="9"/>
    <w:pPr>
      <w:pageBreakBefore/>
      <w:spacing w:before="50" w:beforeLines="50" w:after="50" w:afterLines="50"/>
      <w:ind w:firstLine="0" w:firstLineChars="0"/>
      <w:jc w:val="center"/>
      <w:outlineLvl w:val="0"/>
    </w:pPr>
    <w:rPr>
      <w:rFonts w:eastAsia="黑体" w:asciiTheme="minorHAnsi" w:hAnsiTheme="minorHAnsi" w:cstheme="minorBidi"/>
      <w:b/>
      <w:bCs/>
      <w:kern w:val="44"/>
      <w:szCs w:val="44"/>
    </w:rPr>
  </w:style>
  <w:style w:type="paragraph" w:styleId="3">
    <w:name w:val="heading 2"/>
    <w:basedOn w:val="1"/>
    <w:next w:val="1"/>
    <w:link w:val="32"/>
    <w:unhideWhenUsed/>
    <w:qFormat/>
    <w:uiPriority w:val="9"/>
    <w:pPr>
      <w:spacing w:before="156" w:beforeLines="50" w:after="156" w:afterLines="50"/>
      <w:ind w:firstLine="0" w:firstLineChars="0"/>
      <w:jc w:val="center"/>
      <w:outlineLvl w:val="1"/>
    </w:pPr>
    <w:rPr>
      <w:rFonts w:eastAsia="宋体" w:asciiTheme="majorHAnsi" w:hAnsiTheme="majorHAnsi" w:cstheme="majorBidi"/>
      <w:b/>
      <w:bCs/>
      <w:szCs w:val="32"/>
    </w:rPr>
  </w:style>
  <w:style w:type="paragraph" w:styleId="4">
    <w:name w:val="heading 3"/>
    <w:basedOn w:val="1"/>
    <w:next w:val="1"/>
    <w:link w:val="33"/>
    <w:unhideWhenUsed/>
    <w:qFormat/>
    <w:uiPriority w:val="9"/>
    <w:pPr>
      <w:keepNext/>
      <w:keepLines/>
      <w:outlineLvl w:val="2"/>
    </w:pPr>
    <w:rPr>
      <w:rFonts w:eastAsia="楷体" w:asciiTheme="minorHAnsi" w:hAnsiTheme="minorHAnsi" w:cstheme="minorBidi"/>
      <w:b/>
      <w:bCs/>
      <w:szCs w:val="32"/>
    </w:rPr>
  </w:style>
  <w:style w:type="paragraph" w:styleId="5">
    <w:name w:val="heading 4"/>
    <w:basedOn w:val="1"/>
    <w:next w:val="1"/>
    <w:link w:val="34"/>
    <w:unhideWhenUsed/>
    <w:qFormat/>
    <w:uiPriority w:val="9"/>
    <w:pPr>
      <w:ind w:firstLine="643"/>
      <w:outlineLvl w:val="3"/>
    </w:pPr>
    <w:rPr>
      <w:rFonts w:asciiTheme="majorHAnsi" w:hAnsiTheme="majorHAnsi" w:cstheme="majorBidi"/>
      <w:b/>
      <w:bCs/>
      <w:szCs w:val="28"/>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920"/>
      <w:jc w:val="left"/>
    </w:pPr>
    <w:rPr>
      <w:rFonts w:asciiTheme="minorHAnsi" w:eastAsiaTheme="minorHAnsi"/>
      <w:sz w:val="18"/>
      <w:szCs w:val="18"/>
    </w:rPr>
  </w:style>
  <w:style w:type="paragraph" w:styleId="7">
    <w:name w:val="Normal Indent"/>
    <w:basedOn w:val="1"/>
    <w:qFormat/>
    <w:uiPriority w:val="0"/>
    <w:pPr>
      <w:adjustRightInd/>
      <w:snapToGrid/>
    </w:pPr>
    <w:rPr>
      <w:sz w:val="24"/>
    </w:rPr>
  </w:style>
  <w:style w:type="paragraph" w:styleId="8">
    <w:name w:val="Salutation"/>
    <w:basedOn w:val="1"/>
    <w:next w:val="1"/>
    <w:link w:val="45"/>
    <w:qFormat/>
    <w:uiPriority w:val="99"/>
    <w:pPr>
      <w:adjustRightInd/>
      <w:snapToGrid/>
    </w:pPr>
    <w:rPr>
      <w:sz w:val="30"/>
    </w:rPr>
  </w:style>
  <w:style w:type="paragraph" w:styleId="9">
    <w:name w:val="Body Text"/>
    <w:basedOn w:val="1"/>
    <w:next w:val="1"/>
    <w:link w:val="46"/>
    <w:unhideWhenUsed/>
    <w:qFormat/>
    <w:uiPriority w:val="99"/>
    <w:pPr>
      <w:adjustRightInd/>
      <w:snapToGrid/>
    </w:pPr>
    <w:rPr>
      <w:sz w:val="30"/>
    </w:rPr>
  </w:style>
  <w:style w:type="paragraph" w:styleId="10">
    <w:name w:val="toc 5"/>
    <w:basedOn w:val="1"/>
    <w:next w:val="1"/>
    <w:unhideWhenUsed/>
    <w:qFormat/>
    <w:uiPriority w:val="39"/>
    <w:pPr>
      <w:ind w:left="1280"/>
      <w:jc w:val="left"/>
    </w:pPr>
    <w:rPr>
      <w:rFonts w:asciiTheme="minorHAnsi" w:eastAsiaTheme="minorHAnsi"/>
      <w:sz w:val="18"/>
      <w:szCs w:val="18"/>
    </w:rPr>
  </w:style>
  <w:style w:type="paragraph" w:styleId="11">
    <w:name w:val="toc 3"/>
    <w:basedOn w:val="1"/>
    <w:next w:val="1"/>
    <w:unhideWhenUsed/>
    <w:qFormat/>
    <w:uiPriority w:val="39"/>
    <w:pPr>
      <w:ind w:left="640"/>
      <w:jc w:val="left"/>
    </w:pPr>
    <w:rPr>
      <w:rFonts w:asciiTheme="minorHAnsi" w:eastAsiaTheme="minorHAnsi"/>
      <w:i/>
      <w:iCs/>
      <w:sz w:val="20"/>
    </w:rPr>
  </w:style>
  <w:style w:type="paragraph" w:styleId="12">
    <w:name w:val="toc 8"/>
    <w:basedOn w:val="1"/>
    <w:next w:val="1"/>
    <w:unhideWhenUsed/>
    <w:qFormat/>
    <w:uiPriority w:val="39"/>
    <w:pPr>
      <w:ind w:left="2240"/>
      <w:jc w:val="left"/>
    </w:pPr>
    <w:rPr>
      <w:rFonts w:asciiTheme="minorHAnsi" w:eastAsiaTheme="minorHAnsi"/>
      <w:sz w:val="18"/>
      <w:szCs w:val="18"/>
    </w:rPr>
  </w:style>
  <w:style w:type="paragraph" w:styleId="13">
    <w:name w:val="Date"/>
    <w:basedOn w:val="1"/>
    <w:next w:val="1"/>
    <w:link w:val="39"/>
    <w:semiHidden/>
    <w:unhideWhenUsed/>
    <w:qFormat/>
    <w:uiPriority w:val="99"/>
    <w:pPr>
      <w:ind w:left="100" w:leftChars="2500"/>
    </w:pPr>
  </w:style>
  <w:style w:type="paragraph" w:styleId="14">
    <w:name w:val="Balloon Text"/>
    <w:basedOn w:val="1"/>
    <w:link w:val="43"/>
    <w:semiHidden/>
    <w:unhideWhenUsed/>
    <w:qFormat/>
    <w:uiPriority w:val="99"/>
    <w:pPr>
      <w:spacing w:line="240" w:lineRule="auto"/>
    </w:pPr>
    <w:rPr>
      <w:sz w:val="18"/>
      <w:szCs w:val="18"/>
    </w:rPr>
  </w:style>
  <w:style w:type="paragraph" w:styleId="15">
    <w:name w:val="footer"/>
    <w:basedOn w:val="1"/>
    <w:link w:val="38"/>
    <w:unhideWhenUsed/>
    <w:qFormat/>
    <w:uiPriority w:val="99"/>
    <w:pPr>
      <w:tabs>
        <w:tab w:val="center" w:pos="4153"/>
        <w:tab w:val="right" w:pos="8306"/>
      </w:tabs>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tabs>
        <w:tab w:val="right" w:leader="dot" w:pos="8296"/>
      </w:tabs>
      <w:spacing w:before="120" w:after="120"/>
      <w:ind w:firstLine="640"/>
      <w:jc w:val="left"/>
    </w:pPr>
    <w:rPr>
      <w:rFonts w:eastAsia="黑体"/>
      <w:bCs/>
      <w:caps/>
    </w:rPr>
  </w:style>
  <w:style w:type="paragraph" w:styleId="18">
    <w:name w:val="toc 4"/>
    <w:basedOn w:val="1"/>
    <w:next w:val="1"/>
    <w:unhideWhenUsed/>
    <w:qFormat/>
    <w:uiPriority w:val="39"/>
    <w:pPr>
      <w:ind w:left="960"/>
      <w:jc w:val="left"/>
    </w:pPr>
    <w:rPr>
      <w:rFonts w:asciiTheme="minorHAnsi" w:eastAsiaTheme="minorHAnsi"/>
      <w:sz w:val="18"/>
      <w:szCs w:val="18"/>
    </w:rPr>
  </w:style>
  <w:style w:type="paragraph" w:styleId="19">
    <w:name w:val="footnote text"/>
    <w:basedOn w:val="1"/>
    <w:link w:val="35"/>
    <w:unhideWhenUsed/>
    <w:qFormat/>
    <w:uiPriority w:val="0"/>
    <w:pPr>
      <w:jc w:val="left"/>
    </w:pPr>
    <w:rPr>
      <w:sz w:val="18"/>
      <w:szCs w:val="18"/>
    </w:rPr>
  </w:style>
  <w:style w:type="paragraph" w:styleId="20">
    <w:name w:val="toc 6"/>
    <w:basedOn w:val="1"/>
    <w:next w:val="1"/>
    <w:unhideWhenUsed/>
    <w:qFormat/>
    <w:uiPriority w:val="39"/>
    <w:pPr>
      <w:ind w:left="1600"/>
      <w:jc w:val="left"/>
    </w:pPr>
    <w:rPr>
      <w:rFonts w:asciiTheme="minorHAnsi" w:eastAsiaTheme="minorHAnsi"/>
      <w:sz w:val="18"/>
      <w:szCs w:val="18"/>
    </w:rPr>
  </w:style>
  <w:style w:type="paragraph" w:styleId="21">
    <w:name w:val="toc 2"/>
    <w:basedOn w:val="1"/>
    <w:next w:val="1"/>
    <w:unhideWhenUsed/>
    <w:qFormat/>
    <w:uiPriority w:val="39"/>
    <w:pPr>
      <w:ind w:left="320"/>
      <w:jc w:val="left"/>
    </w:pPr>
    <w:rPr>
      <w:rFonts w:eastAsia="楷体"/>
      <w:smallCaps/>
    </w:rPr>
  </w:style>
  <w:style w:type="paragraph" w:styleId="22">
    <w:name w:val="toc 9"/>
    <w:basedOn w:val="1"/>
    <w:next w:val="1"/>
    <w:unhideWhenUsed/>
    <w:qFormat/>
    <w:uiPriority w:val="39"/>
    <w:pPr>
      <w:ind w:left="2560"/>
      <w:jc w:val="left"/>
    </w:pPr>
    <w:rPr>
      <w:rFonts w:asciiTheme="minorHAnsi" w:eastAsiaTheme="minorHAnsi"/>
      <w:sz w:val="18"/>
      <w:szCs w:val="18"/>
    </w:rPr>
  </w:style>
  <w:style w:type="paragraph" w:styleId="23">
    <w:name w:val="Normal (Web)"/>
    <w:basedOn w:val="1"/>
    <w:qFormat/>
    <w:uiPriority w:val="99"/>
    <w:pPr>
      <w:adjustRightInd/>
      <w:snapToGrid/>
      <w:spacing w:before="100" w:beforeAutospacing="1" w:after="100" w:afterAutospacing="1"/>
      <w:jc w:val="left"/>
    </w:pPr>
    <w:rPr>
      <w:kern w:val="0"/>
      <w:sz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u w:val="single"/>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footnote reference"/>
    <w:basedOn w:val="24"/>
    <w:unhideWhenUsed/>
    <w:qFormat/>
    <w:uiPriority w:val="0"/>
    <w:rPr>
      <w:vertAlign w:val="superscript"/>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1">
    <w:name w:val="标题 1 字符"/>
    <w:basedOn w:val="24"/>
    <w:link w:val="2"/>
    <w:qFormat/>
    <w:uiPriority w:val="9"/>
    <w:rPr>
      <w:rFonts w:eastAsia="黑体"/>
      <w:b/>
      <w:bCs/>
      <w:kern w:val="44"/>
      <w:sz w:val="32"/>
      <w:szCs w:val="44"/>
    </w:rPr>
  </w:style>
  <w:style w:type="character" w:customStyle="1" w:styleId="32">
    <w:name w:val="标题 2 字符"/>
    <w:basedOn w:val="24"/>
    <w:link w:val="3"/>
    <w:qFormat/>
    <w:uiPriority w:val="9"/>
    <w:rPr>
      <w:rFonts w:eastAsia="宋体" w:asciiTheme="majorHAnsi" w:hAnsiTheme="majorHAnsi" w:cstheme="majorBidi"/>
      <w:b/>
      <w:bCs/>
      <w:sz w:val="32"/>
      <w:szCs w:val="32"/>
    </w:rPr>
  </w:style>
  <w:style w:type="character" w:customStyle="1" w:styleId="33">
    <w:name w:val="标题 3 字符"/>
    <w:basedOn w:val="24"/>
    <w:link w:val="4"/>
    <w:qFormat/>
    <w:uiPriority w:val="9"/>
    <w:rPr>
      <w:rFonts w:eastAsia="楷体"/>
      <w:b/>
      <w:bCs/>
      <w:sz w:val="32"/>
      <w:szCs w:val="32"/>
    </w:rPr>
  </w:style>
  <w:style w:type="character" w:customStyle="1" w:styleId="34">
    <w:name w:val="标题 4 字符"/>
    <w:basedOn w:val="24"/>
    <w:link w:val="5"/>
    <w:qFormat/>
    <w:uiPriority w:val="9"/>
    <w:rPr>
      <w:rFonts w:eastAsia="仿宋" w:asciiTheme="majorHAnsi" w:hAnsiTheme="majorHAnsi" w:cstheme="majorBidi"/>
      <w:b/>
      <w:bCs/>
      <w:sz w:val="32"/>
      <w:szCs w:val="28"/>
    </w:rPr>
  </w:style>
  <w:style w:type="character" w:customStyle="1" w:styleId="35">
    <w:name w:val="脚注文本 字符"/>
    <w:basedOn w:val="24"/>
    <w:link w:val="19"/>
    <w:qFormat/>
    <w:uiPriority w:val="0"/>
    <w:rPr>
      <w:rFonts w:ascii="Times New Roman" w:hAnsi="Times New Roman" w:eastAsia="仿宋_GB2312" w:cs="Times New Roman"/>
      <w:sz w:val="18"/>
      <w:szCs w:val="18"/>
    </w:rPr>
  </w:style>
  <w:style w:type="paragraph" w:customStyle="1" w:styleId="36">
    <w:name w:val="TOC 标题1"/>
    <w:basedOn w:val="2"/>
    <w:next w:val="1"/>
    <w:unhideWhenUsed/>
    <w:qFormat/>
    <w:uiPriority w:val="39"/>
    <w:pPr>
      <w:keepNext/>
      <w:keepLines/>
      <w:widowControl/>
      <w:spacing w:before="240" w:beforeLines="0" w:after="0" w:afterLines="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7">
    <w:name w:val="页眉 字符"/>
    <w:basedOn w:val="24"/>
    <w:link w:val="16"/>
    <w:qFormat/>
    <w:uiPriority w:val="99"/>
    <w:rPr>
      <w:rFonts w:ascii="Times New Roman" w:hAnsi="Times New Roman" w:eastAsia="仿宋_GB2312" w:cs="Times New Roman"/>
      <w:sz w:val="18"/>
      <w:szCs w:val="18"/>
    </w:rPr>
  </w:style>
  <w:style w:type="character" w:customStyle="1" w:styleId="38">
    <w:name w:val="页脚 字符"/>
    <w:basedOn w:val="24"/>
    <w:link w:val="15"/>
    <w:qFormat/>
    <w:uiPriority w:val="99"/>
    <w:rPr>
      <w:rFonts w:ascii="Times New Roman" w:hAnsi="Times New Roman" w:eastAsia="仿宋_GB2312" w:cs="Times New Roman"/>
      <w:sz w:val="18"/>
      <w:szCs w:val="18"/>
    </w:rPr>
  </w:style>
  <w:style w:type="character" w:customStyle="1" w:styleId="39">
    <w:name w:val="日期 字符"/>
    <w:basedOn w:val="24"/>
    <w:link w:val="13"/>
    <w:semiHidden/>
    <w:qFormat/>
    <w:uiPriority w:val="99"/>
    <w:rPr>
      <w:rFonts w:ascii="Times New Roman" w:hAnsi="Times New Roman" w:eastAsia="仿宋_GB2312" w:cs="Times New Roman"/>
      <w:sz w:val="32"/>
      <w:szCs w:val="20"/>
    </w:rPr>
  </w:style>
  <w:style w:type="paragraph" w:customStyle="1" w:styleId="40">
    <w:name w:val="BodyText1I2"/>
    <w:basedOn w:val="1"/>
    <w:qFormat/>
    <w:uiPriority w:val="0"/>
    <w:pPr>
      <w:adjustRightInd/>
      <w:snapToGrid/>
      <w:spacing w:after="120"/>
      <w:ind w:left="420" w:leftChars="200" w:firstLine="420"/>
      <w:textAlignment w:val="baseline"/>
    </w:pPr>
    <w:rPr>
      <w:rFonts w:eastAsia="宋体"/>
      <w:sz w:val="21"/>
      <w:szCs w:val="22"/>
    </w:rPr>
  </w:style>
  <w:style w:type="table" w:customStyle="1" w:styleId="4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42">
    <w:name w:val="No Spacing"/>
    <w:qFormat/>
    <w:uiPriority w:val="1"/>
    <w:pPr>
      <w:widowControl w:val="0"/>
      <w:adjustRightInd w:val="0"/>
      <w:snapToGrid w:val="0"/>
      <w:ind w:firstLine="200" w:firstLineChars="200"/>
      <w:jc w:val="both"/>
    </w:pPr>
    <w:rPr>
      <w:rFonts w:ascii="Times New Roman" w:hAnsi="Times New Roman" w:eastAsia="仿宋" w:cs="Times New Roman"/>
      <w:kern w:val="2"/>
      <w:sz w:val="32"/>
      <w:lang w:val="en-US" w:eastAsia="zh-CN" w:bidi="ar-SA"/>
    </w:rPr>
  </w:style>
  <w:style w:type="character" w:customStyle="1" w:styleId="43">
    <w:name w:val="批注框文本 字符"/>
    <w:basedOn w:val="24"/>
    <w:link w:val="14"/>
    <w:semiHidden/>
    <w:qFormat/>
    <w:uiPriority w:val="99"/>
    <w:rPr>
      <w:rFonts w:ascii="Times New Roman" w:hAnsi="Times New Roman" w:eastAsia="仿宋" w:cs="Times New Roman"/>
      <w:sz w:val="18"/>
      <w:szCs w:val="18"/>
    </w:rPr>
  </w:style>
  <w:style w:type="paragraph" w:styleId="44">
    <w:name w:val="List Paragraph"/>
    <w:basedOn w:val="1"/>
    <w:qFormat/>
    <w:uiPriority w:val="99"/>
    <w:pPr>
      <w:ind w:firstLine="420"/>
    </w:pPr>
  </w:style>
  <w:style w:type="character" w:customStyle="1" w:styleId="45">
    <w:name w:val="称呼 字符"/>
    <w:basedOn w:val="24"/>
    <w:link w:val="8"/>
    <w:qFormat/>
    <w:uiPriority w:val="99"/>
    <w:rPr>
      <w:rFonts w:ascii="Times New Roman" w:hAnsi="Times New Roman" w:eastAsia="仿宋" w:cs="Times New Roman"/>
      <w:sz w:val="30"/>
      <w:szCs w:val="20"/>
    </w:rPr>
  </w:style>
  <w:style w:type="character" w:customStyle="1" w:styleId="46">
    <w:name w:val="正文文本 字符"/>
    <w:basedOn w:val="24"/>
    <w:link w:val="9"/>
    <w:qFormat/>
    <w:uiPriority w:val="99"/>
    <w:rPr>
      <w:rFonts w:ascii="Times New Roman" w:hAnsi="Times New Roman" w:eastAsia="仿宋" w:cs="Times New Roman"/>
      <w:sz w:val="30"/>
      <w:szCs w:val="20"/>
    </w:rPr>
  </w:style>
  <w:style w:type="paragraph" w:customStyle="1" w:styleId="47">
    <w:name w:val="TOC 标题11"/>
    <w:basedOn w:val="2"/>
    <w:next w:val="1"/>
    <w:unhideWhenUsed/>
    <w:qFormat/>
    <w:uiPriority w:val="39"/>
    <w:pPr>
      <w:keepNext/>
      <w:keepLines/>
      <w:pageBreakBefore w:val="0"/>
      <w:widowControl/>
      <w:adjustRightInd/>
      <w:snapToGrid/>
      <w:spacing w:before="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8">
    <w:name w:val="样式2"/>
    <w:basedOn w:val="3"/>
    <w:link w:val="49"/>
    <w:qFormat/>
    <w:uiPriority w:val="0"/>
    <w:pPr>
      <w:adjustRightInd/>
      <w:snapToGrid/>
      <w:spacing w:before="0" w:after="0"/>
    </w:pPr>
    <w:rPr>
      <w:sz w:val="30"/>
    </w:rPr>
  </w:style>
  <w:style w:type="character" w:customStyle="1" w:styleId="49">
    <w:name w:val="样式2 字符"/>
    <w:basedOn w:val="32"/>
    <w:link w:val="48"/>
    <w:qFormat/>
    <w:uiPriority w:val="0"/>
    <w:rPr>
      <w:rFonts w:eastAsia="宋体" w:asciiTheme="majorHAnsi" w:hAnsiTheme="majorHAnsi" w:cstheme="majorBidi"/>
      <w:sz w:val="30"/>
      <w:szCs w:val="32"/>
    </w:rPr>
  </w:style>
  <w:style w:type="character" w:customStyle="1" w:styleId="50">
    <w:name w:val="不明显强调1"/>
    <w:basedOn w:val="24"/>
    <w:qFormat/>
    <w:uiPriority w:val="19"/>
    <w:rPr>
      <w:i/>
      <w:iCs/>
      <w:color w:val="404040" w:themeColor="text1" w:themeTint="BF"/>
      <w14:textFill>
        <w14:solidFill>
          <w14:schemeClr w14:val="tx1">
            <w14:lumMod w14:val="75000"/>
            <w14:lumOff w14:val="25000"/>
          </w14:schemeClr>
        </w14:solidFill>
      </w14:textFill>
    </w:rPr>
  </w:style>
  <w:style w:type="paragraph" w:customStyle="1" w:styleId="51">
    <w:name w:val="msonormal"/>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2">
    <w:name w:val="font0"/>
    <w:basedOn w:val="1"/>
    <w:qFormat/>
    <w:uiPriority w:val="0"/>
    <w:pPr>
      <w:widowControl/>
      <w:adjustRightInd/>
      <w:snapToGrid/>
      <w:spacing w:before="100" w:beforeAutospacing="1" w:after="100" w:afterAutospacing="1" w:line="240" w:lineRule="auto"/>
      <w:ind w:firstLine="0" w:firstLineChars="0"/>
      <w:jc w:val="left"/>
    </w:pPr>
    <w:rPr>
      <w:rFonts w:ascii="等线" w:hAnsi="等线" w:eastAsia="等线" w:cs="宋体"/>
      <w:color w:val="000000"/>
      <w:kern w:val="0"/>
      <w:sz w:val="22"/>
      <w:szCs w:val="22"/>
    </w:rPr>
  </w:style>
  <w:style w:type="paragraph" w:customStyle="1" w:styleId="53">
    <w:name w:val="font5"/>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54">
    <w:name w:val="font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b/>
      <w:bCs/>
      <w:kern w:val="0"/>
      <w:sz w:val="20"/>
    </w:rPr>
  </w:style>
  <w:style w:type="paragraph" w:customStyle="1" w:styleId="55">
    <w:name w:val="font7"/>
    <w:basedOn w:val="1"/>
    <w:qFormat/>
    <w:uiPriority w:val="0"/>
    <w:pPr>
      <w:widowControl/>
      <w:adjustRightInd/>
      <w:snapToGrid/>
      <w:spacing w:before="100" w:beforeAutospacing="1" w:after="100" w:afterAutospacing="1" w:line="240" w:lineRule="auto"/>
      <w:ind w:firstLine="0" w:firstLineChars="0"/>
      <w:jc w:val="left"/>
    </w:pPr>
    <w:rPr>
      <w:rFonts w:eastAsia="宋体"/>
      <w:b/>
      <w:bCs/>
      <w:kern w:val="0"/>
      <w:sz w:val="20"/>
    </w:rPr>
  </w:style>
  <w:style w:type="paragraph" w:customStyle="1" w:styleId="56">
    <w:name w:val="font8"/>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57">
    <w:name w:val="font9"/>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b/>
      <w:bCs/>
      <w:color w:val="FF0000"/>
      <w:kern w:val="0"/>
      <w:sz w:val="20"/>
    </w:rPr>
  </w:style>
  <w:style w:type="paragraph" w:customStyle="1" w:styleId="58">
    <w:name w:val="font10"/>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2"/>
      <w:szCs w:val="22"/>
    </w:rPr>
  </w:style>
  <w:style w:type="paragraph" w:customStyle="1" w:styleId="59">
    <w:name w:val="font11"/>
    <w:basedOn w:val="1"/>
    <w:qFormat/>
    <w:uiPriority w:val="0"/>
    <w:pPr>
      <w:widowControl/>
      <w:adjustRightInd/>
      <w:snapToGrid/>
      <w:spacing w:before="100" w:beforeAutospacing="1" w:after="100" w:afterAutospacing="1" w:line="240" w:lineRule="auto"/>
      <w:ind w:firstLine="0" w:firstLineChars="0"/>
      <w:jc w:val="left"/>
    </w:pPr>
    <w:rPr>
      <w:rFonts w:eastAsia="宋体"/>
      <w:kern w:val="0"/>
      <w:sz w:val="20"/>
    </w:rPr>
  </w:style>
  <w:style w:type="paragraph" w:customStyle="1" w:styleId="60">
    <w:name w:val="font12"/>
    <w:basedOn w:val="1"/>
    <w:qFormat/>
    <w:uiPriority w:val="0"/>
    <w:pPr>
      <w:widowControl/>
      <w:adjustRightInd/>
      <w:snapToGrid/>
      <w:spacing w:before="100" w:beforeAutospacing="1" w:after="100" w:afterAutospacing="1" w:line="240" w:lineRule="auto"/>
      <w:ind w:firstLine="0" w:firstLineChars="0"/>
      <w:jc w:val="left"/>
    </w:pPr>
    <w:rPr>
      <w:rFonts w:eastAsia="宋体"/>
      <w:kern w:val="0"/>
      <w:sz w:val="22"/>
      <w:szCs w:val="22"/>
    </w:rPr>
  </w:style>
  <w:style w:type="paragraph" w:customStyle="1" w:styleId="61">
    <w:name w:val="font13"/>
    <w:basedOn w:val="1"/>
    <w:qFormat/>
    <w:uiPriority w:val="0"/>
    <w:pPr>
      <w:widowControl/>
      <w:adjustRightInd/>
      <w:snapToGrid/>
      <w:spacing w:before="100" w:beforeAutospacing="1" w:after="100" w:afterAutospacing="1" w:line="240" w:lineRule="auto"/>
      <w:ind w:firstLine="0" w:firstLineChars="0"/>
      <w:jc w:val="left"/>
    </w:pPr>
    <w:rPr>
      <w:rFonts w:eastAsia="宋体"/>
      <w:color w:val="000000"/>
      <w:kern w:val="0"/>
      <w:sz w:val="24"/>
      <w:szCs w:val="24"/>
    </w:rPr>
  </w:style>
  <w:style w:type="paragraph" w:customStyle="1" w:styleId="62">
    <w:name w:val="font14"/>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63">
    <w:name w:val="font15"/>
    <w:basedOn w:val="1"/>
    <w:qFormat/>
    <w:uiPriority w:val="0"/>
    <w:pPr>
      <w:widowControl/>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64">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b/>
      <w:bCs/>
      <w:kern w:val="0"/>
      <w:sz w:val="20"/>
    </w:rPr>
  </w:style>
  <w:style w:type="paragraph" w:customStyle="1" w:styleId="66">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67">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b/>
      <w:bCs/>
      <w:kern w:val="0"/>
      <w:sz w:val="20"/>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b/>
      <w:bCs/>
      <w:color w:val="FF0000"/>
      <w:kern w:val="0"/>
      <w:sz w:val="20"/>
    </w:rPr>
  </w:style>
  <w:style w:type="paragraph" w:customStyle="1" w:styleId="70">
    <w:name w:val="xl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71">
    <w:name w:val="xl7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72">
    <w:name w:val="xl7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73">
    <w:name w:val="xl7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7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7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7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78">
    <w:name w:val="xl7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80">
    <w:name w:val="xl8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8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8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86">
    <w:name w:val="xl8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88">
    <w:name w:val="xl8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8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91">
    <w:name w:val="xl9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color w:val="000000"/>
      <w:kern w:val="0"/>
      <w:sz w:val="20"/>
    </w:rPr>
  </w:style>
  <w:style w:type="paragraph" w:customStyle="1" w:styleId="92">
    <w:name w:val="xl9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93">
    <w:name w:val="xl9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color w:val="000000"/>
      <w:kern w:val="0"/>
      <w:sz w:val="20"/>
    </w:rPr>
  </w:style>
  <w:style w:type="paragraph" w:customStyle="1" w:styleId="94">
    <w:name w:val="xl9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5">
    <w:name w:val="xl9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96">
    <w:name w:val="xl9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97">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color w:val="000000"/>
      <w:kern w:val="0"/>
      <w:sz w:val="20"/>
    </w:rPr>
  </w:style>
  <w:style w:type="paragraph" w:customStyle="1" w:styleId="9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color w:val="000000"/>
      <w:kern w:val="0"/>
      <w:sz w:val="20"/>
    </w:rPr>
  </w:style>
  <w:style w:type="paragraph" w:customStyle="1" w:styleId="9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0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0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0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color w:val="000000"/>
      <w:kern w:val="0"/>
      <w:sz w:val="20"/>
    </w:rPr>
  </w:style>
  <w:style w:type="paragraph" w:customStyle="1" w:styleId="10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04">
    <w:name w:val="xl10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05">
    <w:name w:val="xl10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0"/>
    </w:rPr>
  </w:style>
  <w:style w:type="paragraph" w:customStyle="1" w:styleId="106">
    <w:name w:val="xl10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0"/>
    </w:rPr>
  </w:style>
  <w:style w:type="paragraph" w:customStyle="1" w:styleId="10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eastAsia="宋体"/>
      <w:kern w:val="0"/>
      <w:sz w:val="18"/>
      <w:szCs w:val="18"/>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eastAsia="宋体"/>
      <w:kern w:val="0"/>
      <w:sz w:val="18"/>
      <w:szCs w:val="18"/>
    </w:rPr>
  </w:style>
  <w:style w:type="paragraph" w:customStyle="1" w:styleId="109">
    <w:name w:val="xl10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10">
    <w:name w:val="xl11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color w:val="000000"/>
      <w:kern w:val="0"/>
      <w:sz w:val="20"/>
    </w:rPr>
  </w:style>
  <w:style w:type="paragraph" w:customStyle="1" w:styleId="11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color w:val="000000"/>
      <w:kern w:val="0"/>
      <w:sz w:val="20"/>
    </w:rPr>
  </w:style>
  <w:style w:type="paragraph" w:customStyle="1" w:styleId="112">
    <w:name w:val="xl11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1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14">
    <w:name w:val="xl11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等线 Light" w:hAnsi="等线 Light" w:eastAsia="等线 Light" w:cs="宋体"/>
      <w:kern w:val="0"/>
      <w:sz w:val="20"/>
    </w:rPr>
  </w:style>
  <w:style w:type="paragraph" w:customStyle="1" w:styleId="115">
    <w:name w:val="xl11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1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1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8">
    <w:name w:val="xl11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19">
    <w:name w:val="xl11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0">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21">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22">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23">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adjustRightInd/>
      <w:snapToGrid/>
      <w:spacing w:before="100" w:beforeAutospacing="1" w:after="100" w:afterAutospacing="1" w:line="240" w:lineRule="auto"/>
      <w:ind w:firstLine="0" w:firstLineChars="0"/>
      <w:jc w:val="left"/>
    </w:pPr>
    <w:rPr>
      <w:rFonts w:ascii="宋体" w:hAnsi="宋体" w:eastAsia="宋体" w:cs="宋体"/>
      <w:kern w:val="0"/>
      <w:sz w:val="20"/>
    </w:rPr>
  </w:style>
  <w:style w:type="paragraph" w:customStyle="1" w:styleId="124">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adjustRightInd/>
      <w:snapToGrid/>
      <w:spacing w:before="100" w:beforeAutospacing="1" w:after="100" w:afterAutospacing="1" w:line="240" w:lineRule="auto"/>
      <w:ind w:firstLine="0" w:firstLineChars="0"/>
      <w:jc w:val="center"/>
    </w:pPr>
    <w:rPr>
      <w:rFonts w:ascii="宋体" w:hAnsi="宋体" w:eastAsia="宋体" w:cs="宋体"/>
      <w:kern w:val="0"/>
      <w:sz w:val="20"/>
    </w:rPr>
  </w:style>
  <w:style w:type="paragraph" w:customStyle="1" w:styleId="125">
    <w:name w:val="xl1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26">
    <w:name w:val="xl1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27">
    <w:name w:val="xl127"/>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28">
    <w:name w:val="xl128"/>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29">
    <w:name w:val="xl129"/>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b/>
      <w:bCs/>
      <w:kern w:val="0"/>
      <w:sz w:val="20"/>
    </w:rPr>
  </w:style>
  <w:style w:type="character" w:customStyle="1" w:styleId="130">
    <w:name w:val="fontstyle01"/>
    <w:basedOn w:val="24"/>
    <w:qFormat/>
    <w:uiPriority w:val="0"/>
    <w:rPr>
      <w:rFonts w:hint="default" w:ascii="FZFSJW--GB1-0" w:hAnsi="FZFSJW--GB1-0"/>
      <w:color w:val="000000"/>
      <w:sz w:val="32"/>
      <w:szCs w:val="32"/>
    </w:rPr>
  </w:style>
  <w:style w:type="paragraph" w:customStyle="1" w:styleId="131">
    <w:name w:val="font1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b/>
      <w:bCs/>
      <w:color w:val="FF0000"/>
      <w:kern w:val="0"/>
      <w:sz w:val="20"/>
    </w:rPr>
  </w:style>
  <w:style w:type="paragraph" w:customStyle="1" w:styleId="132">
    <w:name w:val="xl130"/>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b/>
      <w:bCs/>
      <w:kern w:val="0"/>
      <w:sz w:val="20"/>
    </w:rPr>
  </w:style>
  <w:style w:type="paragraph" w:customStyle="1" w:styleId="133">
    <w:name w:val="xl131"/>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b/>
      <w:bCs/>
      <w:kern w:val="0"/>
      <w:sz w:val="20"/>
    </w:rPr>
  </w:style>
  <w:style w:type="paragraph" w:customStyle="1" w:styleId="134">
    <w:name w:val="xl132"/>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35">
    <w:name w:val="xl13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36">
    <w:name w:val="xl13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37">
    <w:name w:val="xl135"/>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20"/>
    </w:rPr>
  </w:style>
  <w:style w:type="paragraph" w:customStyle="1" w:styleId="138">
    <w:name w:val="font1"/>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39">
    <w:name w:val="font2"/>
    <w:basedOn w:val="1"/>
    <w:qFormat/>
    <w:uiPriority w:val="0"/>
    <w:pPr>
      <w:widowControl/>
      <w:adjustRightInd/>
      <w:snapToGrid/>
      <w:spacing w:before="100" w:beforeAutospacing="1" w:after="100" w:afterAutospacing="1" w:line="240" w:lineRule="auto"/>
      <w:ind w:firstLine="0" w:firstLineChars="0"/>
      <w:jc w:val="left"/>
    </w:pPr>
    <w:rPr>
      <w:rFonts w:eastAsia="宋体"/>
      <w:b/>
      <w:bCs/>
      <w:color w:val="000000"/>
      <w:kern w:val="0"/>
      <w:sz w:val="18"/>
      <w:szCs w:val="18"/>
    </w:rPr>
  </w:style>
  <w:style w:type="paragraph" w:customStyle="1" w:styleId="140">
    <w:name w:val="font3"/>
    <w:basedOn w:val="1"/>
    <w:qFormat/>
    <w:uiPriority w:val="0"/>
    <w:pPr>
      <w:widowControl/>
      <w:adjustRightInd/>
      <w:snapToGrid/>
      <w:spacing w:before="100" w:beforeAutospacing="1" w:after="100" w:afterAutospacing="1" w:line="240" w:lineRule="auto"/>
      <w:ind w:firstLine="0" w:firstLineChars="0"/>
      <w:jc w:val="left"/>
    </w:pPr>
    <w:rPr>
      <w:rFonts w:eastAsia="宋体"/>
      <w:color w:val="000000"/>
      <w:kern w:val="0"/>
      <w:sz w:val="18"/>
      <w:szCs w:val="18"/>
    </w:rPr>
  </w:style>
  <w:style w:type="paragraph" w:customStyle="1" w:styleId="141">
    <w:name w:val="font4"/>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42">
    <w:name w:val="et2"/>
    <w:basedOn w:val="1"/>
    <w:qFormat/>
    <w:uiPriority w:val="0"/>
    <w:pPr>
      <w:widowControl/>
      <w:pBdr>
        <w:top w:val="single" w:color="000000" w:sz="8" w:space="0"/>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18"/>
      <w:szCs w:val="18"/>
    </w:rPr>
  </w:style>
  <w:style w:type="paragraph" w:customStyle="1" w:styleId="143">
    <w:name w:val="et3"/>
    <w:basedOn w:val="1"/>
    <w:qFormat/>
    <w:uiPriority w:val="0"/>
    <w:pPr>
      <w:widowControl/>
      <w:pBdr>
        <w:top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18"/>
      <w:szCs w:val="18"/>
    </w:rPr>
  </w:style>
  <w:style w:type="paragraph" w:customStyle="1" w:styleId="144">
    <w:name w:val="et4"/>
    <w:basedOn w:val="1"/>
    <w:qFormat/>
    <w:uiPriority w:val="0"/>
    <w:pPr>
      <w:widowControl/>
      <w:pBdr>
        <w:top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18"/>
      <w:szCs w:val="18"/>
    </w:rPr>
  </w:style>
  <w:style w:type="paragraph" w:customStyle="1" w:styleId="145">
    <w:name w:val="et5"/>
    <w:basedOn w:val="1"/>
    <w:qFormat/>
    <w:uiPriority w:val="0"/>
    <w:pPr>
      <w:widowControl/>
      <w:pBdr>
        <w:top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eastAsia="宋体"/>
      <w:b/>
      <w:bCs/>
      <w:kern w:val="0"/>
      <w:sz w:val="18"/>
      <w:szCs w:val="18"/>
    </w:rPr>
  </w:style>
  <w:style w:type="paragraph" w:customStyle="1" w:styleId="146">
    <w:name w:val="et6"/>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18"/>
      <w:szCs w:val="18"/>
    </w:rPr>
  </w:style>
  <w:style w:type="paragraph" w:customStyle="1" w:styleId="147">
    <w:name w:val="et7"/>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b/>
      <w:bCs/>
      <w:kern w:val="0"/>
      <w:sz w:val="18"/>
      <w:szCs w:val="18"/>
    </w:rPr>
  </w:style>
  <w:style w:type="paragraph" w:customStyle="1" w:styleId="148">
    <w:name w:val="et8"/>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left"/>
    </w:pPr>
    <w:rPr>
      <w:rFonts w:ascii="宋体" w:hAnsi="宋体" w:eastAsia="宋体" w:cs="宋体"/>
      <w:b/>
      <w:bCs/>
      <w:kern w:val="0"/>
      <w:sz w:val="18"/>
      <w:szCs w:val="18"/>
    </w:rPr>
  </w:style>
  <w:style w:type="paragraph" w:customStyle="1" w:styleId="149">
    <w:name w:val="et9"/>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pPr>
    <w:rPr>
      <w:rFonts w:ascii="宋体" w:hAnsi="宋体" w:eastAsia="宋体" w:cs="宋体"/>
      <w:b/>
      <w:bCs/>
      <w:kern w:val="0"/>
      <w:sz w:val="18"/>
      <w:szCs w:val="18"/>
    </w:rPr>
  </w:style>
  <w:style w:type="paragraph" w:customStyle="1" w:styleId="150">
    <w:name w:val="et10"/>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eastAsia="宋体"/>
      <w:b/>
      <w:bCs/>
      <w:kern w:val="0"/>
      <w:sz w:val="18"/>
      <w:szCs w:val="18"/>
    </w:rPr>
  </w:style>
  <w:style w:type="paragraph" w:customStyle="1" w:styleId="151">
    <w:name w:val="et11"/>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eastAsia="宋体"/>
      <w:kern w:val="0"/>
      <w:sz w:val="18"/>
      <w:szCs w:val="18"/>
    </w:rPr>
  </w:style>
  <w:style w:type="paragraph" w:customStyle="1" w:styleId="152">
    <w:name w:val="et12"/>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53">
    <w:name w:val="et13"/>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154">
    <w:name w:val="et14"/>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155">
    <w:name w:val="et15"/>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left"/>
    </w:pPr>
    <w:rPr>
      <w:rFonts w:eastAsia="宋体"/>
      <w:kern w:val="0"/>
      <w:sz w:val="18"/>
      <w:szCs w:val="18"/>
    </w:rPr>
  </w:style>
  <w:style w:type="paragraph" w:customStyle="1" w:styleId="156">
    <w:name w:val="et16"/>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eastAsia="宋体"/>
      <w:kern w:val="0"/>
      <w:sz w:val="18"/>
      <w:szCs w:val="18"/>
    </w:rPr>
  </w:style>
  <w:style w:type="paragraph" w:customStyle="1" w:styleId="157">
    <w:name w:val="et17"/>
    <w:basedOn w:val="1"/>
    <w:qFormat/>
    <w:uiPriority w:val="0"/>
    <w:pPr>
      <w:widowControl/>
      <w:pBdr>
        <w:right w:val="single" w:color="000000" w:sz="8" w:space="0"/>
      </w:pBdr>
      <w:adjustRightInd/>
      <w:snapToGrid/>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158">
    <w:name w:val="et18"/>
    <w:basedOn w:val="1"/>
    <w:qFormat/>
    <w:uiPriority w:val="0"/>
    <w:pPr>
      <w:widowControl/>
      <w:pBdr>
        <w:right w:val="single" w:color="000000" w:sz="8" w:space="0"/>
      </w:pBdr>
      <w:adjustRightInd/>
      <w:snapToGrid/>
      <w:spacing w:before="100" w:beforeAutospacing="1" w:after="100" w:afterAutospacing="1" w:line="240" w:lineRule="auto"/>
      <w:ind w:firstLine="0" w:firstLineChars="0"/>
    </w:pPr>
    <w:rPr>
      <w:rFonts w:eastAsia="宋体"/>
      <w:kern w:val="0"/>
      <w:sz w:val="18"/>
      <w:szCs w:val="18"/>
    </w:rPr>
  </w:style>
  <w:style w:type="paragraph" w:customStyle="1" w:styleId="159">
    <w:name w:val="et19"/>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pPr>
    <w:rPr>
      <w:rFonts w:eastAsia="宋体"/>
      <w:kern w:val="0"/>
      <w:sz w:val="18"/>
      <w:szCs w:val="18"/>
    </w:rPr>
  </w:style>
  <w:style w:type="paragraph" w:customStyle="1" w:styleId="160">
    <w:name w:val="et20"/>
    <w:basedOn w:val="1"/>
    <w:qFormat/>
    <w:uiPriority w:val="0"/>
    <w:pPr>
      <w:widowControl/>
      <w:pBdr>
        <w:left w:val="single" w:color="000000" w:sz="8" w:space="0"/>
        <w:bottom w:val="single" w:color="000000" w:sz="8" w:space="0"/>
        <w:right w:val="single" w:color="000000" w:sz="8" w:space="0"/>
      </w:pBdr>
      <w:adjustRightInd/>
      <w:snapToGrid/>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161">
    <w:name w:val="et21"/>
    <w:basedOn w:val="1"/>
    <w:qFormat/>
    <w:uiPriority w:val="0"/>
    <w:pPr>
      <w:widowControl/>
      <w:pBdr>
        <w:bottom w:val="single" w:color="000000" w:sz="8" w:space="0"/>
        <w:right w:val="single" w:color="000000" w:sz="8" w:space="0"/>
      </w:pBdr>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62">
    <w:name w:val="font21"/>
    <w:basedOn w:val="24"/>
    <w:qFormat/>
    <w:uiPriority w:val="0"/>
    <w:rPr>
      <w:rFonts w:hint="default" w:ascii="Times New Roman" w:hAnsi="Times New Roman" w:cs="Times New Roman"/>
      <w:b/>
      <w:bCs/>
      <w:color w:val="000000"/>
      <w:sz w:val="18"/>
      <w:szCs w:val="18"/>
      <w:u w:val="none"/>
    </w:rPr>
  </w:style>
  <w:style w:type="character" w:customStyle="1" w:styleId="163">
    <w:name w:val="font31"/>
    <w:basedOn w:val="24"/>
    <w:qFormat/>
    <w:uiPriority w:val="0"/>
    <w:rPr>
      <w:rFonts w:hint="default" w:ascii="Times New Roman" w:hAnsi="Times New Roman" w:cs="Times New Roman"/>
      <w:color w:val="000000"/>
      <w:sz w:val="18"/>
      <w:szCs w:val="18"/>
      <w:u w:val="none"/>
    </w:rPr>
  </w:style>
  <w:style w:type="character" w:customStyle="1" w:styleId="164">
    <w:name w:val="font41"/>
    <w:basedOn w:val="24"/>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222;&#23425;&#26381;&#21153;&#1999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331391710596"/>
          <c:y val="0.0433017591339648"/>
          <c:w val="0.821338927991793"/>
          <c:h val="0.603099314886045"/>
        </c:manualLayout>
      </c:layout>
      <c:barChart>
        <c:barDir val="col"/>
        <c:grouping val="clustered"/>
        <c:varyColors val="0"/>
        <c:ser>
          <c:idx val="0"/>
          <c:order val="0"/>
          <c:tx>
            <c:strRef>
              <c:f>Sheet2!$C$6:$C$7</c:f>
              <c:strCache>
                <c:ptCount val="1"/>
                <c:pt idx="0">
                  <c:v>第三产业增加值（亿元）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Sheet2!$B$8:$B$15</c:f>
              <c:strCache>
                <c:ptCount val="8"/>
                <c:pt idx="0">
                  <c:v>揭阳市</c:v>
                </c:pt>
                <c:pt idx="1">
                  <c:v>普宁市</c:v>
                </c:pt>
                <c:pt idx="2">
                  <c:v>揭东区(新)</c:v>
                </c:pt>
                <c:pt idx="3">
                  <c:v>榕城区</c:v>
                </c:pt>
                <c:pt idx="4">
                  <c:v>揭西县</c:v>
                </c:pt>
                <c:pt idx="5">
                  <c:v>惠来县</c:v>
                </c:pt>
                <c:pt idx="6">
                  <c:v>空港区</c:v>
                </c:pt>
                <c:pt idx="7">
                  <c:v>揭阳产业园(新)</c:v>
                </c:pt>
              </c:strCache>
            </c:strRef>
          </c:cat>
          <c:val>
            <c:numRef>
              <c:f>Sheet2!$C$8:$C$15</c:f>
              <c:numCache>
                <c:formatCode>0.00_ </c:formatCode>
                <c:ptCount val="8"/>
                <c:pt idx="0">
                  <c:v>1122.97385698446</c:v>
                </c:pt>
                <c:pt idx="1">
                  <c:v>366.447182674538</c:v>
                </c:pt>
                <c:pt idx="2">
                  <c:v>210.248176241855</c:v>
                </c:pt>
                <c:pt idx="3">
                  <c:v>200.661702273206</c:v>
                </c:pt>
                <c:pt idx="4">
                  <c:v>124.608481711732</c:v>
                </c:pt>
                <c:pt idx="5">
                  <c:v>122.545618858353</c:v>
                </c:pt>
                <c:pt idx="6">
                  <c:v>88.850154242487</c:v>
                </c:pt>
                <c:pt idx="7">
                  <c:v>9.61261511315</c:v>
                </c:pt>
              </c:numCache>
            </c:numRef>
          </c:val>
        </c:ser>
        <c:dLbls>
          <c:showLegendKey val="0"/>
          <c:showVal val="0"/>
          <c:showCatName val="0"/>
          <c:showSerName val="0"/>
          <c:showPercent val="0"/>
          <c:showBubbleSize val="0"/>
        </c:dLbls>
        <c:gapWidth val="150"/>
        <c:axId val="585319872"/>
        <c:axId val="178485120"/>
      </c:barChart>
      <c:lineChart>
        <c:grouping val="standard"/>
        <c:varyColors val="0"/>
        <c:ser>
          <c:idx val="1"/>
          <c:order val="1"/>
          <c:tx>
            <c:strRef>
              <c:f>Sheet2!$D$6:$D$7</c:f>
              <c:strCache>
                <c:ptCount val="1"/>
                <c:pt idx="0">
                  <c:v>第三产业增加值占比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Sheet2!$B$8:$B$15</c:f>
              <c:strCache>
                <c:ptCount val="8"/>
                <c:pt idx="0">
                  <c:v>揭阳市</c:v>
                </c:pt>
                <c:pt idx="1">
                  <c:v>普宁市</c:v>
                </c:pt>
                <c:pt idx="2">
                  <c:v>揭东区(新)</c:v>
                </c:pt>
                <c:pt idx="3">
                  <c:v>榕城区</c:v>
                </c:pt>
                <c:pt idx="4">
                  <c:v>揭西县</c:v>
                </c:pt>
                <c:pt idx="5">
                  <c:v>惠来县</c:v>
                </c:pt>
                <c:pt idx="6">
                  <c:v>空港区</c:v>
                </c:pt>
                <c:pt idx="7">
                  <c:v>揭阳产业园(新)</c:v>
                </c:pt>
              </c:strCache>
            </c:strRef>
          </c:cat>
          <c:val>
            <c:numRef>
              <c:f>Sheet2!$D$8:$D$15</c:f>
              <c:numCache>
                <c:formatCode>0.00_);[Red]\(0.00\)</c:formatCode>
                <c:ptCount val="8"/>
                <c:pt idx="0">
                  <c:v>53.4205064983505</c:v>
                </c:pt>
                <c:pt idx="1">
                  <c:v>59.7224122487483</c:v>
                </c:pt>
                <c:pt idx="2">
                  <c:v>48.3411958935115</c:v>
                </c:pt>
                <c:pt idx="3">
                  <c:v>57.1188679978961</c:v>
                </c:pt>
                <c:pt idx="4">
                  <c:v>51.918261565055</c:v>
                </c:pt>
                <c:pt idx="5">
                  <c:v>47.5550093783974</c:v>
                </c:pt>
                <c:pt idx="6">
                  <c:v>49.4039222504611</c:v>
                </c:pt>
                <c:pt idx="7">
                  <c:v>38.7925135165883</c:v>
                </c:pt>
              </c:numCache>
            </c:numRef>
          </c:val>
          <c:smooth val="0"/>
        </c:ser>
        <c:dLbls>
          <c:showLegendKey val="0"/>
          <c:showVal val="0"/>
          <c:showCatName val="0"/>
          <c:showSerName val="0"/>
          <c:showPercent val="0"/>
          <c:showBubbleSize val="0"/>
        </c:dLbls>
        <c:marker val="0"/>
        <c:smooth val="0"/>
        <c:axId val="585320272"/>
        <c:axId val="178485536"/>
      </c:lineChart>
      <c:catAx>
        <c:axId val="5853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1" i="0" u="none" strike="noStrike" kern="1200" baseline="0">
                <a:solidFill>
                  <a:schemeClr val="tx1">
                    <a:lumMod val="65000"/>
                    <a:lumOff val="35000"/>
                  </a:schemeClr>
                </a:solidFill>
                <a:latin typeface="+mn-lt"/>
                <a:ea typeface="+mn-ea"/>
                <a:cs typeface="+mn-cs"/>
              </a:defRPr>
            </a:pPr>
          </a:p>
        </c:txPr>
        <c:crossAx val="178485120"/>
        <c:crosses val="autoZero"/>
        <c:auto val="1"/>
        <c:lblAlgn val="ctr"/>
        <c:lblOffset val="100"/>
        <c:noMultiLvlLbl val="0"/>
      </c:catAx>
      <c:valAx>
        <c:axId val="178485120"/>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319872"/>
        <c:crosses val="autoZero"/>
        <c:crossBetween val="between"/>
      </c:valAx>
      <c:catAx>
        <c:axId val="58532027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485536"/>
        <c:crosses val="autoZero"/>
        <c:auto val="1"/>
        <c:lblAlgn val="ctr"/>
        <c:lblOffset val="100"/>
        <c:noMultiLvlLbl val="0"/>
      </c:catAx>
      <c:valAx>
        <c:axId val="178485536"/>
        <c:scaling>
          <c:orientation val="minMax"/>
        </c:scaling>
        <c:delete val="0"/>
        <c:axPos val="r"/>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320272"/>
        <c:crosses val="max"/>
        <c:crossBetween val="between"/>
      </c:valAx>
      <c:spPr>
        <a:noFill/>
        <a:ln>
          <a:noFill/>
        </a:ln>
        <a:effectLst/>
      </c:spPr>
    </c:plotArea>
    <c:legend>
      <c:legendPos val="b"/>
      <c:layout>
        <c:manualLayout>
          <c:xMode val="edge"/>
          <c:yMode val="edge"/>
          <c:x val="0.0214952816675203"/>
          <c:y val="0.830694621921127"/>
          <c:w val="0.959674831532784"/>
          <c:h val="0.167866403406523"/>
        </c:manualLayout>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0A728-E8B9-4219-920E-D0AAF790D1E4}">
  <ds:schemaRefs/>
</ds:datastoreItem>
</file>

<file path=docProps/app.xml><?xml version="1.0" encoding="utf-8"?>
<Properties xmlns="http://schemas.openxmlformats.org/officeDocument/2006/extended-properties" xmlns:vt="http://schemas.openxmlformats.org/officeDocument/2006/docPropsVTypes">
  <Template>Normal.dotm</Template>
  <Pages>84</Pages>
  <Words>6594</Words>
  <Characters>37590</Characters>
  <Lines>313</Lines>
  <Paragraphs>88</Paragraphs>
  <ScaleCrop>false</ScaleCrop>
  <LinksUpToDate>false</LinksUpToDate>
  <CharactersWithSpaces>44096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2021-11-19T09:08:00Z</dcterms:created>
  <dc:creator>Administrator</dc:creator>
  <cp:lastModifiedBy>Administrator</cp:lastModifiedBy>
  <cp:lastPrinted>2022-02-09T09:27:00Z</cp:lastPrinted>
  <dcterms:modified xsi:type="dcterms:W3CDTF">2025-07-28T08:20:51Z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B02F77286819495EB79E6C2E7E3111D1</vt:lpwstr>
  </property>
</Properties>
</file>