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普法责任清单</w:t>
      </w:r>
    </w:p>
    <w:p>
      <w:pPr>
        <w:pStyle w:val="2"/>
        <w:rPr>
          <w:rFonts w:hint="eastAsia"/>
        </w:rPr>
      </w:pPr>
    </w:p>
    <w:tbl>
      <w:tblPr>
        <w:tblStyle w:val="6"/>
        <w:tblW w:w="13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062"/>
        <w:gridCol w:w="1944"/>
        <w:gridCol w:w="3492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普法内容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普法对象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普法目标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具体举措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习近平新时代中国特色社会主义思想，习近平总书记全面依法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国新理念新思想新战略，习近平总书记关于防灾减灾救灾重要论述，谈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国理政，习近平总书记视察广东重要讲话精神。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全局干部 </w:t>
            </w:r>
          </w:p>
          <w:p>
            <w:pPr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职工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增强法治意识，牢固树立“四个意识”，坚定“四个自信”，坚决做到“两个维护”。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严格落实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党委中心组学习制度，组织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干部职工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参加干部网络专题培训班，并邀请专家学者讲课培训。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《中国共产党章程》、《中国共产党党内监督条例》、《中国共产党纪律处分条例》、《中国共产党问责条例》《中国共产党党员权利保障条例》、《中国共产党廉洁自律准则》等党内法规文件。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全局干部</w:t>
            </w:r>
          </w:p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职工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进一步加强领导班子自身建设，加强党建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工作规范化建设，提高科学决策、依法履职、按纲抓建的水平，推动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安全生产和应急管理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工作和队伍建设健康发展。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通过自学、集中学习、书记授课、座谈讲述、专题培训等方式，加深对党史党章党规的学习掌握。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《中华人民共和国宪法》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中华人民共和国民法典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》、《中华人民共和国行政许可法》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《中华人民共和国行政诉讼法》、《中华人民共和国行政处罚法》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全局干部</w:t>
            </w:r>
          </w:p>
          <w:p>
            <w:pPr>
              <w:ind w:firstLine="280" w:firstLineChars="1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职工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强化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干部职工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法治意识，强化依法行政，依法管理、依法办事理念，深化和提高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干部职工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对普法工作的认识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主动性。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制定年度学习计划，组织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干部职工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参加广东省国家工作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员行政执法考试平台的课程学习并参加行政执法考试。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安全生产法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》（2021年修订）《矿山安全法》《突发事件应对法》《国家总体应急预案》《生产安全事故应急条例》《广东省安全生产条例》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《危险化学品安全管理条例》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全局干部职工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事业单位相关人员和群众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推动各级政府依法落实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安全生产责任制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,提升行业部门各自分管领域的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管理水平,督促社会单位落实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主体责任,提升民众的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意识和素质。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1、出台和完善我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安全生产和应急管理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规范性文件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,强化顶层制度设计。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2、把法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宣传教育融入业务工作全过程，把认真履职、严格执法的过程变成生动有效的普法实践行动。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活动,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月等普法活动。</w:t>
            </w:r>
          </w:p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4、利用电视、广播、报纸及新媒体矩阵开展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安全生产和应急管理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普法线上宣传。</w:t>
            </w:r>
          </w:p>
        </w:tc>
      </w:tr>
    </w:tbl>
    <w:p>
      <w:pPr>
        <w:rPr>
          <w:rFonts w:hint="eastAsia"/>
        </w:rPr>
      </w:pPr>
    </w:p>
    <w:p/>
    <w:p>
      <w:pPr>
        <w:spacing w:line="600" w:lineRule="exact"/>
        <w:ind w:firstLine="7040" w:firstLineChars="2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8000" w:firstLineChars="25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揭阳市揭东区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急管理局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sectPr>
      <w:pgSz w:w="16820" w:h="11900" w:orient="landscape"/>
      <w:pgMar w:top="1587" w:right="1361" w:bottom="1474" w:left="1361" w:header="720" w:footer="720" w:gutter="0"/>
      <w:pgNumType w:fmt="decimal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YzM1OWQwNmYzMmNkNjE3NGFmZTk0ZGU0NzhkYTQifQ=="/>
  </w:docVars>
  <w:rsids>
    <w:rsidRoot w:val="7AC63183"/>
    <w:rsid w:val="24A60EEB"/>
    <w:rsid w:val="4D985449"/>
    <w:rsid w:val="563D2EDD"/>
    <w:rsid w:val="56CC693C"/>
    <w:rsid w:val="7AC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等线" w:hAnsi="等线" w:eastAsia="方正小标宋简体"/>
      <w:sz w:val="36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2022-07-19T08:46:00Z</dcterms:created>
  <dc:creator>区安监谢梓波</dc:creator>
  <cp:lastModifiedBy>kim希</cp:lastModifiedBy>
  <cp:lastPrinted>2022-07-20T03:08:00Z</cp:lastPrinted>
  <dcterms:modified xsi:type="dcterms:W3CDTF">2025-07-31T03:10:44Z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BE3982BF878C43E6B3D78342564D021F</vt:lpwstr>
  </property>
</Properties>
</file>