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CE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0FD35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5FB0B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委第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巡察组向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区统计局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党组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反馈巡察情况</w:t>
      </w:r>
    </w:p>
    <w:p w14:paraId="26358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2E396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根据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委巡察工作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安排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年9月19日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委第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巡察组向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区统计局党组反馈巡察情况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委第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巡察组组长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刘仲生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分别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区统计局党组书记陆广才和区统计局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党组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反馈了巡察情况。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区委巡察工作领导小组有关领导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传达了区委书记修文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在听取本轮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巡察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情况汇报时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的讲话精神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，并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对巡察整改工作提出要求。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区分管领导出席反馈会议并作讲话。陆广才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主持反馈会议并作了表态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发言。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区纪委监委有关负责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同志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参加反馈会。</w:t>
      </w:r>
    </w:p>
    <w:p w14:paraId="46787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刘仲生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反馈了巡察区统计局党组发现的主要问题：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贯彻落实党的路线方针政策和党中央决策部署方面，存在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政治引领不到位，在学懂弄通做实上存在差距；数据质量责任意识不强，统计数据质量基础不扎实；统计执法检查力度不足，执法检查质量和成效有待提高；参谋助手作用发挥不够明显，经济运行情况分析深度不够；调查研究不深入，服务对接工作开展不扎实；意识形态工作责任制落实有偏差、网络安全工作落实不深不细等问题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在群众身边腐败问题和不正之风方面，存在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财务管理不规范、差旅费管理不到位、计算机和办公设备维护保养支出费用偏高、资产管理不严格等问题。在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u w:val="none"/>
          <w:lang w:eastAsia="zh-CN"/>
        </w:rPr>
        <w:t>基层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u w:val="none"/>
          <w:lang w:val="en-US" w:eastAsia="zh-CN"/>
        </w:rPr>
        <w:t>党组织和党员队伍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u w:val="none"/>
          <w:lang w:eastAsia="zh-CN"/>
        </w:rPr>
        <w:t>建设方面，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u w:val="none"/>
          <w:lang w:val="en-US" w:eastAsia="zh-CN"/>
        </w:rPr>
        <w:t>存在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落实全面从严治党有短板、党建工作责任制落实不到位、执行党的组织生活制度力度不够、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u w:val="none"/>
          <w:lang w:val="en-US" w:eastAsia="zh-CN"/>
        </w:rPr>
        <w:t>中层干部梯队建设不到位、干部选拔任用程序执行不规范、人事管理工作存在不足等问题。在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u w:val="none"/>
          <w:lang w:eastAsia="zh-CN"/>
        </w:rPr>
        <w:t>落实巡察整改和成果运用方面，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u w:val="none"/>
          <w:lang w:val="en-US" w:eastAsia="zh-CN"/>
        </w:rPr>
        <w:t>存在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巡察整改“后半篇”文章做得不深不细的问题。</w:t>
      </w:r>
    </w:p>
    <w:p w14:paraId="45BCA57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u w:val="none"/>
          <w:lang w:val="en-US" w:eastAsia="zh-CN"/>
        </w:rPr>
        <w:t>刘仲生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提出了三点整改意见建议：一是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筑牢思想根基，以理论武装凝心铸魂。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u w:val="none"/>
          <w:lang w:val="en-US" w:eastAsia="zh-CN"/>
        </w:rPr>
        <w:t>要坚持以党的创新理论武装头脑、指导实践、推动工作，切实加强党对统计工作的全面领导，确保统计事业始终沿着正确政治方向前进。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夯实党建基础，以从严治党正风肃纪。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u w:val="none"/>
          <w:lang w:val="en-US" w:eastAsia="zh-CN"/>
        </w:rPr>
        <w:t>要持续提升党建工作标准化、规范化水平，严格落实党内组织生活制度，丰富主题党日活动形式与内涵，充分发挥党建引领统计业务发展的核心作用。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三是强化履职担当，以实干实效服务大局。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u w:val="none"/>
          <w:lang w:val="en-US" w:eastAsia="zh-CN"/>
        </w:rPr>
        <w:t>要扎实做好日常经济运行监测和经济形势分析研判工作，抓实数据质量“全周期”管理，强化统计业务培训，高效完成各项统计业务，为我区经济高质量发展提供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坚实统计保障。</w:t>
      </w:r>
    </w:p>
    <w:p w14:paraId="6EC3A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区委巡察工作领导小组有关领导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指出，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区委开展巡察工作，是对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区统计局党组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加强党风廉政建设、落实全面从严治党主体责任、执行民主集中制、严肃党规党纪的一次集中检验，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区统计局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一定要统一思想，站位全局，深刻认识巡察反馈意见的重要作用和重大意义，切实增强政治责任感和政治敏锐性，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把巡察整改作为当前一项重大政治任务，切实增强“四个意识”、坚定“四个自信”、做到“两个维护”，以最坚决的态度、最有力的举措推进整改工作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不折不扣地落实好各项整改任务。</w:t>
      </w:r>
    </w:p>
    <w:p w14:paraId="67000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区分管领导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指出，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区统计局作为全区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统计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数据管理的核心部门，肩负着真实准确、及时完整反映区域经济社会运行态势的重要职责。必须从讲政治的高度看待巡察整改，把整改过程作为践行“两个维护”的具体行动，作为提升治理能力、改进工作作风、增强队伍素质的重要契机，切实增强做好整改工作的责任感和紧迫感。局党组要切实担负起巡察整改的主体责任，主要负责同志要履行好第一责任人职责，班子成员要落实“一岗双责”，形成一级抓一级、层层抓落实的工作格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真正把整改成效转化为推动发展的强大动力。</w:t>
      </w:r>
    </w:p>
    <w:p w14:paraId="77C13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陆广才表示，要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深刻认识巡察反馈意见的重要作用和重大意义，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严格落实党组主体责任和班子成员“一岗双责”，建立问题台账，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在抓好集中整改的同时，要举一反三、深刻反思，认真剖析问题产生的深层次原因，找准体制机制上的“症结”，建立长效机制，坚持标本兼治，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强化内部管理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全面提升统计服务科学决策的能力和水平。</w:t>
      </w:r>
    </w:p>
    <w:p w14:paraId="0E8498CD">
      <w:pPr>
        <w:ind w:firstLine="640" w:firstLineChars="2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区纪委监委、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委第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巡察组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区统计局党组有关负责同志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出席会议，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区统计局各内设机构和下属单位主要负责同志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列席会议。</w:t>
      </w:r>
      <w:bookmarkStart w:id="0" w:name="_GoBack"/>
      <w:bookmarkEnd w:id="0"/>
    </w:p>
    <w:sectPr>
      <w:footerReference r:id="rId3" w:type="default"/>
      <w:pgSz w:w="11906" w:h="16838"/>
      <w:pgMar w:top="2154" w:right="1531" w:bottom="1871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8C7A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D156D">
                          <w:pPr>
                            <w:pStyle w:val="4"/>
                            <w:rPr>
                              <w:rFonts w:hint="default" w:ascii="Nimbus Roman" w:hAnsi="Nimbus Roman" w:cs="Nimbus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CD156D">
                    <w:pPr>
                      <w:pStyle w:val="4"/>
                      <w:rPr>
                        <w:rFonts w:hint="default" w:ascii="Nimbus Roman" w:hAnsi="Nimbus Roman" w:cs="Nimbus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C6585"/>
    <w:rsid w:val="01284C10"/>
    <w:rsid w:val="03EA2651"/>
    <w:rsid w:val="04427462"/>
    <w:rsid w:val="05453440"/>
    <w:rsid w:val="070E34A9"/>
    <w:rsid w:val="071D5EB3"/>
    <w:rsid w:val="08CE609D"/>
    <w:rsid w:val="09CD4184"/>
    <w:rsid w:val="0ADB0F46"/>
    <w:rsid w:val="0BBD0027"/>
    <w:rsid w:val="0E5E2B87"/>
    <w:rsid w:val="0FF25618"/>
    <w:rsid w:val="117F14A4"/>
    <w:rsid w:val="11F87AE5"/>
    <w:rsid w:val="12F720B3"/>
    <w:rsid w:val="16AF05F0"/>
    <w:rsid w:val="174E15E0"/>
    <w:rsid w:val="18131D1F"/>
    <w:rsid w:val="187840B2"/>
    <w:rsid w:val="192B4E46"/>
    <w:rsid w:val="1CEC6F12"/>
    <w:rsid w:val="1DCB0DD7"/>
    <w:rsid w:val="225A38FD"/>
    <w:rsid w:val="23EB454B"/>
    <w:rsid w:val="25CD70B6"/>
    <w:rsid w:val="263E4626"/>
    <w:rsid w:val="269A3EFC"/>
    <w:rsid w:val="26E11D25"/>
    <w:rsid w:val="2872067C"/>
    <w:rsid w:val="2B106BCD"/>
    <w:rsid w:val="2D0D0FDB"/>
    <w:rsid w:val="2ECC6585"/>
    <w:rsid w:val="2F9E6A7F"/>
    <w:rsid w:val="30A24944"/>
    <w:rsid w:val="32B41C24"/>
    <w:rsid w:val="32C221A9"/>
    <w:rsid w:val="34EB1C02"/>
    <w:rsid w:val="3A3D3D52"/>
    <w:rsid w:val="3BDF3772"/>
    <w:rsid w:val="3CE049DC"/>
    <w:rsid w:val="3FC409CF"/>
    <w:rsid w:val="41FD288F"/>
    <w:rsid w:val="42421162"/>
    <w:rsid w:val="42B54169"/>
    <w:rsid w:val="45101DDC"/>
    <w:rsid w:val="460061B3"/>
    <w:rsid w:val="46863CBA"/>
    <w:rsid w:val="4721525A"/>
    <w:rsid w:val="480143E0"/>
    <w:rsid w:val="48B5539F"/>
    <w:rsid w:val="4B405A2A"/>
    <w:rsid w:val="4C56259E"/>
    <w:rsid w:val="4FFF40A6"/>
    <w:rsid w:val="514566E6"/>
    <w:rsid w:val="51FC0B96"/>
    <w:rsid w:val="523C685A"/>
    <w:rsid w:val="545C3F3A"/>
    <w:rsid w:val="561511E1"/>
    <w:rsid w:val="576616C9"/>
    <w:rsid w:val="58693ED3"/>
    <w:rsid w:val="58CB0041"/>
    <w:rsid w:val="59AF4362"/>
    <w:rsid w:val="5AE22499"/>
    <w:rsid w:val="5D177188"/>
    <w:rsid w:val="5FE11D0A"/>
    <w:rsid w:val="60C364AF"/>
    <w:rsid w:val="61E14E2E"/>
    <w:rsid w:val="62D30439"/>
    <w:rsid w:val="62E21706"/>
    <w:rsid w:val="632F6611"/>
    <w:rsid w:val="64DA483A"/>
    <w:rsid w:val="67C44D24"/>
    <w:rsid w:val="687918D4"/>
    <w:rsid w:val="68B52698"/>
    <w:rsid w:val="68E07175"/>
    <w:rsid w:val="69A834EB"/>
    <w:rsid w:val="6AD2029E"/>
    <w:rsid w:val="6B081C70"/>
    <w:rsid w:val="6DDD45E2"/>
    <w:rsid w:val="6E663183"/>
    <w:rsid w:val="6F300DDE"/>
    <w:rsid w:val="7337A89C"/>
    <w:rsid w:val="739FACD2"/>
    <w:rsid w:val="75675D21"/>
    <w:rsid w:val="76841197"/>
    <w:rsid w:val="76EB689F"/>
    <w:rsid w:val="77EF6477"/>
    <w:rsid w:val="79FF90E7"/>
    <w:rsid w:val="7AF5751E"/>
    <w:rsid w:val="7BED28F1"/>
    <w:rsid w:val="7C4B9847"/>
    <w:rsid w:val="7C975558"/>
    <w:rsid w:val="7CD705F1"/>
    <w:rsid w:val="7F7C1B17"/>
    <w:rsid w:val="7F860A72"/>
    <w:rsid w:val="7FBD0110"/>
    <w:rsid w:val="7FDFB311"/>
    <w:rsid w:val="BBF748BD"/>
    <w:rsid w:val="BBFB34AF"/>
    <w:rsid w:val="BC7B05E0"/>
    <w:rsid w:val="BD7F1365"/>
    <w:rsid w:val="CDFEACDD"/>
    <w:rsid w:val="D9DBA336"/>
    <w:rsid w:val="DB77B815"/>
    <w:rsid w:val="DDEEAC8A"/>
    <w:rsid w:val="DFE5597D"/>
    <w:rsid w:val="E4BFAD77"/>
    <w:rsid w:val="E7EE824F"/>
    <w:rsid w:val="E7F7518E"/>
    <w:rsid w:val="EBFD6C77"/>
    <w:rsid w:val="EFFFE644"/>
    <w:rsid w:val="F77DA8B8"/>
    <w:rsid w:val="F7DF2C8E"/>
    <w:rsid w:val="FDD9DD86"/>
    <w:rsid w:val="FEDF9834"/>
    <w:rsid w:val="FF4BEA77"/>
    <w:rsid w:val="FFBFD9B7"/>
    <w:rsid w:val="FFE9A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Lines="100" w:afterLines="50"/>
      <w:outlineLvl w:val="3"/>
    </w:pPr>
    <w:rPr>
      <w:rFonts w:ascii="Arial" w:hAnsi="Arial" w:eastAsia="黑体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正文文本 (3)"/>
    <w:basedOn w:val="1"/>
    <w:qFormat/>
    <w:uiPriority w:val="0"/>
    <w:pPr>
      <w:shd w:val="clear" w:color="auto" w:fill="FFFFFF"/>
      <w:spacing w:line="619" w:lineRule="exact"/>
      <w:jc w:val="distribute"/>
    </w:pPr>
    <w:rPr>
      <w:rFonts w:ascii="宋体" w:hAnsi="宋体" w:eastAsia="宋体" w:cs="宋体"/>
      <w:b/>
      <w:bCs/>
      <w:sz w:val="36"/>
      <w:szCs w:val="36"/>
    </w:rPr>
  </w:style>
  <w:style w:type="paragraph" w:customStyle="1" w:styleId="10">
    <w:name w:val="一级标题"/>
    <w:next w:val="1"/>
    <w:qFormat/>
    <w:uiPriority w:val="0"/>
    <w:pPr>
      <w:ind w:leftChars="0"/>
    </w:pPr>
    <w:rPr>
      <w:rFonts w:ascii="Calibri" w:hAnsi="Calibri" w:eastAsia="方正黑体简体" w:cstheme="minorBidi"/>
      <w:sz w:val="32"/>
    </w:rPr>
  </w:style>
  <w:style w:type="paragraph" w:customStyle="1" w:styleId="11">
    <w:name w:val="Body Text First Indent 21"/>
    <w:basedOn w:val="12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12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揭阳普宁市</Company>
  <Pages>3</Pages>
  <Words>1556</Words>
  <Characters>1560</Characters>
  <Lines>0</Lines>
  <Paragraphs>0</Paragraphs>
  <TotalTime>2</TotalTime>
  <ScaleCrop>false</ScaleCrop>
  <LinksUpToDate>false</LinksUpToDate>
  <CharactersWithSpaces>1560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2022-07-07T19:42:00Z</dcterms:created>
  <dc:creator>Administrator</dc:creator>
  <cp:lastModifiedBy>俊</cp:lastModifiedBy>
  <cp:lastPrinted>2025-10-17T07:51:00Z</cp:lastPrinted>
  <dcterms:modified xsi:type="dcterms:W3CDTF">2025-10-24T03:15:01Z</dcterms:modified>
  <dc:title>第一轮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eyJoZGlkIjoiYTE3OWQ3OTFjNDdjZGViNmU4ZGJiZDA4MWFhMWMxNWIiLCJ1c2VySWQiOiIzOTAwMDk2NjUifQ==</vt:lpwstr>
  </property>
  <property fmtid="{D5CDD505-2E9C-101B-9397-08002B2CF9AE}" pid="4" name="ICV">
    <vt:lpwstr>9701F398B3C44EFD8E738B2D660824FF_12</vt:lpwstr>
  </property>
</Properties>
</file>