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揭阳市揭东区禁止开垦陡坡地面积统计表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</w:p>
    <w:tbl>
      <w:tblPr>
        <w:tblStyle w:val="10"/>
        <w:tblW w:w="8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291"/>
        <w:gridCol w:w="1988"/>
        <w:gridCol w:w="1989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镇街行政区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面积（hm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占比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曲溪街道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40.48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0.31%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桂岭镇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108.69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0.84%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白塔镇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172.29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1.33%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龙尾镇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255.85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1.97%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锡场镇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395.09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3.04%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玉滘镇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373.72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2.88%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云路镇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782.89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6.03%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新亨镇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3288.79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25.32%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埔田镇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3101.82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23.89%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玉湖镇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4465.37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34.39%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12984.99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100.00%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349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F2B7839-7915-451F-978A-98A2412F4F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266635-DE86-4466-B9AD-DC8FE0ECB1FE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Yzk2YTFlZThhYWZhYzM3ZmRiYmFiZGY2OGYwNDEifQ=="/>
  </w:docVars>
  <w:rsids>
    <w:rsidRoot w:val="00000000"/>
    <w:rsid w:val="000E7B1F"/>
    <w:rsid w:val="03936A9A"/>
    <w:rsid w:val="039447E3"/>
    <w:rsid w:val="08F14BD1"/>
    <w:rsid w:val="13817C8D"/>
    <w:rsid w:val="15FB2F55"/>
    <w:rsid w:val="1E854F36"/>
    <w:rsid w:val="22804455"/>
    <w:rsid w:val="24BE6969"/>
    <w:rsid w:val="338774BE"/>
    <w:rsid w:val="346F7528"/>
    <w:rsid w:val="367E6B81"/>
    <w:rsid w:val="38FB6404"/>
    <w:rsid w:val="3CF9E4E3"/>
    <w:rsid w:val="40EA67FB"/>
    <w:rsid w:val="42005999"/>
    <w:rsid w:val="43D36EA1"/>
    <w:rsid w:val="44C7446E"/>
    <w:rsid w:val="44E11240"/>
    <w:rsid w:val="463E7D95"/>
    <w:rsid w:val="47E947F8"/>
    <w:rsid w:val="499F1F79"/>
    <w:rsid w:val="4EFE1B86"/>
    <w:rsid w:val="4F726EEE"/>
    <w:rsid w:val="4F7F0F49"/>
    <w:rsid w:val="5059657C"/>
    <w:rsid w:val="50AF3E9A"/>
    <w:rsid w:val="511B5D1C"/>
    <w:rsid w:val="542552D7"/>
    <w:rsid w:val="573C70FB"/>
    <w:rsid w:val="57925091"/>
    <w:rsid w:val="593A477F"/>
    <w:rsid w:val="59426B74"/>
    <w:rsid w:val="6CC23F64"/>
    <w:rsid w:val="6CF35B4A"/>
    <w:rsid w:val="6E3D06DC"/>
    <w:rsid w:val="6F272EA3"/>
    <w:rsid w:val="73525E0A"/>
    <w:rsid w:val="75DC45F5"/>
    <w:rsid w:val="791365FE"/>
    <w:rsid w:val="7A734483"/>
    <w:rsid w:val="7FFE7D6C"/>
    <w:rsid w:val="BE7B558B"/>
    <w:rsid w:val="BF4FF4FF"/>
    <w:rsid w:val="E37E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First Indent"/>
    <w:basedOn w:val="4"/>
    <w:autoRedefine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before="54"/>
      <w:ind w:left="124"/>
    </w:pPr>
    <w:rPr>
      <w:rFonts w:ascii="宋体" w:hAnsi="宋体" w:eastAsia="宋体"/>
      <w:sz w:val="31"/>
      <w:szCs w:val="31"/>
    </w:r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715</Characters>
  <Lines>0</Lines>
  <Paragraphs>0</Paragraphs>
  <TotalTime>2</TotalTime>
  <ScaleCrop>false</ScaleCrop>
  <LinksUpToDate>false</LinksUpToDate>
  <CharactersWithSpaces>766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2025-08-27T14:13:00Z</dcterms:created>
  <dc:creator>远</dc:creator>
  <cp:lastModifiedBy>Lenovo</cp:lastModifiedBy>
  <cp:lastPrinted>2025-12-09T15:03:00Z</cp:lastPrinted>
  <dcterms:modified xsi:type="dcterms:W3CDTF">2025-12-17T03:27:45Z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BD48F34DDD4A4C92BC5E6068552647DC_13</vt:lpwstr>
  </property>
  <property fmtid="{D5CDD505-2E9C-101B-9397-08002B2CF9AE}" pid="4" name="KSOTemplateDocerSaveRecord">
    <vt:lpwstr>eyJoZGlkIjoiOGE4NzI2YjU0NjgxY2UyMWJjYjhhMjQwYmFmYTQzM2YiLCJ1c2VySWQiOiI5Nzc5MTgwMjcifQ==</vt:lpwstr>
  </property>
</Properties>
</file>