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_GBK" w:hAnsi="方正小标宋_GBK" w:eastAsia="方正小标宋_GBK"/>
          <w:b w:val="0"/>
          <w:bCs w:val="0"/>
          <w:color w:val="auto"/>
          <w:sz w:val="30"/>
          <w:szCs w:val="18"/>
        </w:rPr>
      </w:pPr>
      <w:r>
        <w:rPr>
          <w:rFonts w:hint="eastAsia" w:ascii="方正小标宋_GBK" w:hAnsi="方正小标宋_GBK" w:eastAsia="方正小标宋_GBK"/>
          <w:b w:val="0"/>
          <w:bCs w:val="0"/>
          <w:color w:val="auto"/>
          <w:sz w:val="30"/>
          <w:lang w:eastAsia="zh-CN"/>
        </w:rPr>
        <w:t>（</w:t>
      </w:r>
      <w:r>
        <w:rPr>
          <w:rFonts w:hint="eastAsia" w:ascii="方正小标宋_GBK" w:hAnsi="方正小标宋_GBK" w:eastAsia="方正小标宋_GBK"/>
          <w:b w:val="0"/>
          <w:bCs w:val="0"/>
          <w:color w:val="auto"/>
          <w:sz w:val="30"/>
        </w:rPr>
        <w:t>十八）城市综合执法领域基层政务公开标准目录</w:t>
      </w:r>
    </w:p>
    <w:tbl>
      <w:tblPr>
        <w:tblStyle w:val="4"/>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540" w:type="dxa"/>
            <w:vMerge w:val="restart"/>
            <w:noWrap w:val="0"/>
            <w:vAlign w:val="center"/>
          </w:tcPr>
          <w:p>
            <w:pPr>
              <w:widowControl/>
              <w:jc w:val="center"/>
              <w:rPr>
                <w:rFonts w:ascii="Times New Roman" w:hAnsi="Times New Roman"/>
                <w:color w:val="auto"/>
                <w:kern w:val="0"/>
                <w:sz w:val="22"/>
              </w:rPr>
            </w:pPr>
            <w:r>
              <w:rPr>
                <w:rFonts w:ascii="Times New Roman" w:hAnsi="宋体"/>
                <w:color w:val="auto"/>
                <w:kern w:val="0"/>
                <w:sz w:val="22"/>
              </w:rPr>
              <w:t>序号</w:t>
            </w:r>
          </w:p>
        </w:tc>
        <w:tc>
          <w:tcPr>
            <w:tcW w:w="2520" w:type="dxa"/>
            <w:gridSpan w:val="2"/>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公开事项</w:t>
            </w:r>
          </w:p>
        </w:tc>
        <w:tc>
          <w:tcPr>
            <w:tcW w:w="1980" w:type="dxa"/>
            <w:vMerge w:val="restart"/>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公开内容（要素）</w:t>
            </w:r>
          </w:p>
        </w:tc>
        <w:tc>
          <w:tcPr>
            <w:tcW w:w="1620" w:type="dxa"/>
            <w:vMerge w:val="restart"/>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公开依据</w:t>
            </w:r>
          </w:p>
        </w:tc>
        <w:tc>
          <w:tcPr>
            <w:tcW w:w="2160" w:type="dxa"/>
            <w:vMerge w:val="restart"/>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公开时限</w:t>
            </w:r>
          </w:p>
        </w:tc>
        <w:tc>
          <w:tcPr>
            <w:tcW w:w="1440" w:type="dxa"/>
            <w:vMerge w:val="restart"/>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公开主体</w:t>
            </w:r>
          </w:p>
        </w:tc>
        <w:tc>
          <w:tcPr>
            <w:tcW w:w="1440" w:type="dxa"/>
            <w:vMerge w:val="restart"/>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公开渠道和载体</w:t>
            </w:r>
          </w:p>
        </w:tc>
        <w:tc>
          <w:tcPr>
            <w:tcW w:w="1260" w:type="dxa"/>
            <w:gridSpan w:val="2"/>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公开对象</w:t>
            </w:r>
          </w:p>
        </w:tc>
        <w:tc>
          <w:tcPr>
            <w:tcW w:w="1260" w:type="dxa"/>
            <w:gridSpan w:val="2"/>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公开方式</w:t>
            </w:r>
          </w:p>
        </w:tc>
        <w:tc>
          <w:tcPr>
            <w:tcW w:w="1260" w:type="dxa"/>
            <w:gridSpan w:val="2"/>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40" w:type="dxa"/>
            <w:vMerge w:val="continue"/>
            <w:noWrap w:val="0"/>
            <w:vAlign w:val="center"/>
          </w:tcPr>
          <w:p>
            <w:pPr>
              <w:widowControl/>
              <w:jc w:val="left"/>
              <w:rPr>
                <w:rFonts w:ascii="Times New Roman" w:hAnsi="Times New Roman"/>
                <w:color w:val="auto"/>
                <w:kern w:val="0"/>
                <w:sz w:val="22"/>
              </w:rPr>
            </w:pPr>
          </w:p>
        </w:tc>
        <w:tc>
          <w:tcPr>
            <w:tcW w:w="720"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一级事项</w:t>
            </w:r>
          </w:p>
        </w:tc>
        <w:tc>
          <w:tcPr>
            <w:tcW w:w="1800"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二级事项</w:t>
            </w:r>
          </w:p>
        </w:tc>
        <w:tc>
          <w:tcPr>
            <w:tcW w:w="1980" w:type="dxa"/>
            <w:vMerge w:val="continue"/>
            <w:noWrap w:val="0"/>
            <w:vAlign w:val="center"/>
          </w:tcPr>
          <w:p>
            <w:pPr>
              <w:widowControl/>
              <w:jc w:val="left"/>
              <w:rPr>
                <w:rFonts w:ascii="黑体" w:hAnsi="宋体" w:eastAsia="黑体" w:cs="宋体"/>
                <w:color w:val="auto"/>
                <w:kern w:val="0"/>
                <w:sz w:val="22"/>
              </w:rPr>
            </w:pPr>
          </w:p>
        </w:tc>
        <w:tc>
          <w:tcPr>
            <w:tcW w:w="1620" w:type="dxa"/>
            <w:vMerge w:val="continue"/>
            <w:noWrap w:val="0"/>
            <w:vAlign w:val="center"/>
          </w:tcPr>
          <w:p>
            <w:pPr>
              <w:widowControl/>
              <w:jc w:val="left"/>
              <w:rPr>
                <w:rFonts w:ascii="黑体" w:hAnsi="宋体" w:eastAsia="黑体" w:cs="宋体"/>
                <w:color w:val="auto"/>
                <w:kern w:val="0"/>
                <w:sz w:val="22"/>
              </w:rPr>
            </w:pPr>
          </w:p>
        </w:tc>
        <w:tc>
          <w:tcPr>
            <w:tcW w:w="2160" w:type="dxa"/>
            <w:vMerge w:val="continue"/>
            <w:noWrap w:val="0"/>
            <w:vAlign w:val="center"/>
          </w:tcPr>
          <w:p>
            <w:pPr>
              <w:widowControl/>
              <w:jc w:val="left"/>
              <w:rPr>
                <w:rFonts w:ascii="黑体" w:hAnsi="宋体" w:eastAsia="黑体" w:cs="宋体"/>
                <w:color w:val="auto"/>
                <w:kern w:val="0"/>
                <w:sz w:val="22"/>
              </w:rPr>
            </w:pPr>
          </w:p>
        </w:tc>
        <w:tc>
          <w:tcPr>
            <w:tcW w:w="1440" w:type="dxa"/>
            <w:vMerge w:val="continue"/>
            <w:noWrap w:val="0"/>
            <w:vAlign w:val="center"/>
          </w:tcPr>
          <w:p>
            <w:pPr>
              <w:widowControl/>
              <w:jc w:val="left"/>
              <w:rPr>
                <w:rFonts w:ascii="黑体" w:hAnsi="宋体" w:eastAsia="黑体" w:cs="宋体"/>
                <w:color w:val="auto"/>
                <w:kern w:val="0"/>
                <w:sz w:val="22"/>
              </w:rPr>
            </w:pPr>
          </w:p>
        </w:tc>
        <w:tc>
          <w:tcPr>
            <w:tcW w:w="1440" w:type="dxa"/>
            <w:vMerge w:val="continue"/>
            <w:noWrap w:val="0"/>
            <w:vAlign w:val="center"/>
          </w:tcPr>
          <w:p>
            <w:pPr>
              <w:widowControl/>
              <w:jc w:val="left"/>
              <w:rPr>
                <w:rFonts w:ascii="黑体" w:hAnsi="宋体" w:eastAsia="黑体" w:cs="宋体"/>
                <w:color w:val="auto"/>
                <w:kern w:val="0"/>
                <w:sz w:val="22"/>
              </w:rPr>
            </w:pPr>
          </w:p>
        </w:tc>
        <w:tc>
          <w:tcPr>
            <w:tcW w:w="540"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全社会</w:t>
            </w:r>
          </w:p>
        </w:tc>
        <w:tc>
          <w:tcPr>
            <w:tcW w:w="720"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特定群众</w:t>
            </w:r>
          </w:p>
        </w:tc>
        <w:tc>
          <w:tcPr>
            <w:tcW w:w="596"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主动</w:t>
            </w:r>
          </w:p>
        </w:tc>
        <w:tc>
          <w:tcPr>
            <w:tcW w:w="664"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依申请公开</w:t>
            </w:r>
          </w:p>
        </w:tc>
        <w:tc>
          <w:tcPr>
            <w:tcW w:w="540"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县级</w:t>
            </w:r>
          </w:p>
        </w:tc>
        <w:tc>
          <w:tcPr>
            <w:tcW w:w="720"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1</w:t>
            </w:r>
          </w:p>
        </w:tc>
        <w:tc>
          <w:tcPr>
            <w:tcW w:w="720" w:type="dxa"/>
            <w:vMerge w:val="restart"/>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房地产管理</w:t>
            </w: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不符合预售条件预售商品房</w:t>
            </w:r>
          </w:p>
        </w:tc>
        <w:tc>
          <w:tcPr>
            <w:tcW w:w="1980" w:type="dxa"/>
            <w:vMerge w:val="restart"/>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1.机构职能、权责清单、执法人员名单；</w:t>
            </w:r>
            <w:r>
              <w:rPr>
                <w:rFonts w:hint="eastAsia" w:ascii="仿宋_GB2312" w:eastAsia="仿宋_GB2312"/>
                <w:color w:val="auto"/>
                <w:sz w:val="21"/>
                <w:szCs w:val="21"/>
              </w:rPr>
              <w:br w:type="textWrapping"/>
            </w:r>
            <w:r>
              <w:rPr>
                <w:rFonts w:hint="eastAsia" w:ascii="仿宋_GB2312" w:eastAsia="仿宋_GB2312"/>
                <w:color w:val="auto"/>
                <w:sz w:val="21"/>
                <w:szCs w:val="21"/>
              </w:rPr>
              <w:t>2.执法程序或行政强制流程图；</w:t>
            </w:r>
            <w:r>
              <w:rPr>
                <w:rFonts w:hint="eastAsia" w:ascii="仿宋_GB2312" w:eastAsia="仿宋_GB2312"/>
                <w:color w:val="auto"/>
                <w:sz w:val="21"/>
                <w:szCs w:val="21"/>
              </w:rPr>
              <w:br w:type="textWrapping"/>
            </w:r>
            <w:r>
              <w:rPr>
                <w:rFonts w:hint="eastAsia" w:ascii="仿宋_GB2312" w:eastAsia="仿宋_GB2312"/>
                <w:color w:val="auto"/>
                <w:sz w:val="21"/>
                <w:szCs w:val="21"/>
              </w:rPr>
              <w:t>3.执法依据；</w:t>
            </w:r>
            <w:r>
              <w:rPr>
                <w:rFonts w:hint="eastAsia" w:ascii="仿宋_GB2312" w:eastAsia="仿宋_GB2312"/>
                <w:color w:val="auto"/>
                <w:sz w:val="21"/>
                <w:szCs w:val="21"/>
              </w:rPr>
              <w:br w:type="textWrapping"/>
            </w:r>
            <w:r>
              <w:rPr>
                <w:rFonts w:hint="eastAsia" w:ascii="仿宋_GB2312" w:eastAsia="仿宋_GB2312"/>
                <w:color w:val="auto"/>
                <w:sz w:val="21"/>
                <w:szCs w:val="21"/>
              </w:rPr>
              <w:t>4.行政处罚自由裁量基准；</w:t>
            </w:r>
            <w:r>
              <w:rPr>
                <w:rFonts w:hint="eastAsia" w:ascii="仿宋_GB2312" w:eastAsia="仿宋_GB2312"/>
                <w:color w:val="auto"/>
                <w:sz w:val="21"/>
                <w:szCs w:val="21"/>
              </w:rPr>
              <w:br w:type="textWrapping"/>
            </w:r>
            <w:r>
              <w:rPr>
                <w:rFonts w:hint="eastAsia" w:ascii="仿宋_GB2312" w:eastAsia="仿宋_GB2312"/>
                <w:color w:val="auto"/>
                <w:sz w:val="21"/>
                <w:szCs w:val="21"/>
              </w:rPr>
              <w:t>5.咨询、监督投诉方式；</w:t>
            </w:r>
            <w:r>
              <w:rPr>
                <w:rFonts w:hint="eastAsia" w:ascii="仿宋_GB2312" w:eastAsia="仿宋_GB2312"/>
                <w:color w:val="auto"/>
                <w:sz w:val="21"/>
                <w:szCs w:val="21"/>
              </w:rPr>
              <w:br w:type="textWrapping"/>
            </w:r>
            <w:r>
              <w:rPr>
                <w:rFonts w:hint="eastAsia" w:ascii="仿宋_GB2312" w:eastAsia="仿宋_GB2312"/>
                <w:color w:val="auto"/>
                <w:sz w:val="21"/>
                <w:szCs w:val="21"/>
              </w:rPr>
              <w:t>6.处罚决定；</w:t>
            </w:r>
            <w:r>
              <w:rPr>
                <w:rFonts w:hint="eastAsia" w:ascii="仿宋_GB2312" w:eastAsia="仿宋_GB2312"/>
                <w:color w:val="auto"/>
                <w:sz w:val="21"/>
                <w:szCs w:val="21"/>
              </w:rPr>
              <w:br w:type="textWrapping"/>
            </w:r>
            <w:r>
              <w:rPr>
                <w:rFonts w:hint="eastAsia" w:ascii="仿宋_GB2312" w:eastAsia="仿宋_GB2312"/>
                <w:color w:val="auto"/>
                <w:sz w:val="21"/>
                <w:szCs w:val="21"/>
              </w:rPr>
              <w:t>7.救济渠道。</w:t>
            </w: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w:t>
            </w:r>
            <w:bookmarkStart w:id="0" w:name="_GoBack"/>
            <w:bookmarkEnd w:id="0"/>
            <w:r>
              <w:rPr>
                <w:rFonts w:hint="eastAsia" w:ascii="仿宋_GB2312" w:eastAsia="仿宋_GB2312"/>
                <w:color w:val="auto"/>
                <w:sz w:val="21"/>
                <w:szCs w:val="21"/>
                <w:lang w:eastAsia="zh-CN"/>
              </w:rPr>
              <w:t>中华人民共和国城市房地产管理法</w:t>
            </w:r>
            <w:r>
              <w:rPr>
                <w:rFonts w:hint="eastAsia" w:ascii="仿宋_GB2312" w:eastAsia="仿宋_GB2312"/>
                <w:color w:val="auto"/>
                <w:sz w:val="21"/>
                <w:szCs w:val="21"/>
              </w:rPr>
              <w:t xml:space="preserve">》  </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vMerge w:val="restart"/>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2</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未取得资质等级证书或者超越资质等级从事房地产开发经营</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《城市房地产开发经营管理条例》</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vMerge w:val="continue"/>
            <w:noWrap w:val="0"/>
            <w:vAlign w:val="center"/>
          </w:tcPr>
          <w:p>
            <w:pPr>
              <w:rPr>
                <w:rFonts w:ascii="仿宋_GB2312" w:hAnsi="宋体" w:eastAsia="仿宋_GB2312" w:cs="宋体"/>
                <w:color w:val="auto"/>
                <w:sz w:val="21"/>
                <w:szCs w:val="21"/>
              </w:rPr>
            </w:pP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3</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擅自预售商品房</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《城市房地产开发经营管理条例》、《商品房销售管理办法》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vMerge w:val="continue"/>
            <w:noWrap w:val="0"/>
            <w:vAlign w:val="center"/>
          </w:tcPr>
          <w:p>
            <w:pPr>
              <w:rPr>
                <w:rFonts w:ascii="仿宋_GB2312" w:hAnsi="宋体" w:eastAsia="仿宋_GB2312" w:cs="宋体"/>
                <w:color w:val="auto"/>
                <w:sz w:val="21"/>
                <w:szCs w:val="21"/>
              </w:rPr>
            </w:pP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4</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房产测绘单位在房产面积测算中不执行国家标准、规范和规定</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《房产测绘管理办法》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vMerge w:val="continue"/>
            <w:noWrap w:val="0"/>
            <w:vAlign w:val="center"/>
          </w:tcPr>
          <w:p>
            <w:pPr>
              <w:rPr>
                <w:rFonts w:ascii="仿宋_GB2312" w:hAnsi="宋体" w:eastAsia="仿宋_GB2312" w:cs="宋体"/>
                <w:color w:val="auto"/>
                <w:sz w:val="21"/>
                <w:szCs w:val="21"/>
              </w:rPr>
            </w:pP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5</w:t>
            </w:r>
          </w:p>
        </w:tc>
        <w:tc>
          <w:tcPr>
            <w:tcW w:w="720" w:type="dxa"/>
            <w:vMerge w:val="restart"/>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房地产管理</w:t>
            </w: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房产测绘单位在房产面积测算中弄虚作假、欺骗房屋权利人</w:t>
            </w:r>
          </w:p>
        </w:tc>
        <w:tc>
          <w:tcPr>
            <w:tcW w:w="1980" w:type="dxa"/>
            <w:vMerge w:val="restart"/>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1.机构职能、权责清单、执法人员名单；</w:t>
            </w:r>
            <w:r>
              <w:rPr>
                <w:rFonts w:hint="eastAsia" w:ascii="仿宋_GB2312" w:eastAsia="仿宋_GB2312"/>
                <w:color w:val="auto"/>
                <w:sz w:val="21"/>
                <w:szCs w:val="21"/>
              </w:rPr>
              <w:br w:type="textWrapping"/>
            </w:r>
            <w:r>
              <w:rPr>
                <w:rFonts w:hint="eastAsia" w:ascii="仿宋_GB2312" w:eastAsia="仿宋_GB2312"/>
                <w:color w:val="auto"/>
                <w:sz w:val="21"/>
                <w:szCs w:val="21"/>
              </w:rPr>
              <w:t>2.执法程序或行政强制流程图；</w:t>
            </w:r>
            <w:r>
              <w:rPr>
                <w:rFonts w:hint="eastAsia" w:ascii="仿宋_GB2312" w:eastAsia="仿宋_GB2312"/>
                <w:color w:val="auto"/>
                <w:sz w:val="21"/>
                <w:szCs w:val="21"/>
              </w:rPr>
              <w:br w:type="textWrapping"/>
            </w:r>
            <w:r>
              <w:rPr>
                <w:rFonts w:hint="eastAsia" w:ascii="仿宋_GB2312" w:eastAsia="仿宋_GB2312"/>
                <w:color w:val="auto"/>
                <w:sz w:val="21"/>
                <w:szCs w:val="21"/>
              </w:rPr>
              <w:t>3.执法依据；</w:t>
            </w:r>
            <w:r>
              <w:rPr>
                <w:rFonts w:hint="eastAsia" w:ascii="仿宋_GB2312" w:eastAsia="仿宋_GB2312"/>
                <w:color w:val="auto"/>
                <w:sz w:val="21"/>
                <w:szCs w:val="21"/>
              </w:rPr>
              <w:br w:type="textWrapping"/>
            </w:r>
            <w:r>
              <w:rPr>
                <w:rFonts w:hint="eastAsia" w:ascii="仿宋_GB2312" w:eastAsia="仿宋_GB2312"/>
                <w:color w:val="auto"/>
                <w:sz w:val="21"/>
                <w:szCs w:val="21"/>
              </w:rPr>
              <w:t>4.行政处罚自由裁量基准；</w:t>
            </w:r>
            <w:r>
              <w:rPr>
                <w:rFonts w:hint="eastAsia" w:ascii="仿宋_GB2312" w:eastAsia="仿宋_GB2312"/>
                <w:color w:val="auto"/>
                <w:sz w:val="21"/>
                <w:szCs w:val="21"/>
              </w:rPr>
              <w:br w:type="textWrapping"/>
            </w:r>
            <w:r>
              <w:rPr>
                <w:rFonts w:hint="eastAsia" w:ascii="仿宋_GB2312" w:eastAsia="仿宋_GB2312"/>
                <w:color w:val="auto"/>
                <w:sz w:val="21"/>
                <w:szCs w:val="21"/>
              </w:rPr>
              <w:t>5.咨询、监督投诉方式；</w:t>
            </w:r>
            <w:r>
              <w:rPr>
                <w:rFonts w:hint="eastAsia" w:ascii="仿宋_GB2312" w:eastAsia="仿宋_GB2312"/>
                <w:color w:val="auto"/>
                <w:sz w:val="21"/>
                <w:szCs w:val="21"/>
              </w:rPr>
              <w:br w:type="textWrapping"/>
            </w:r>
            <w:r>
              <w:rPr>
                <w:rFonts w:hint="eastAsia" w:ascii="仿宋_GB2312" w:eastAsia="仿宋_GB2312"/>
                <w:color w:val="auto"/>
                <w:sz w:val="21"/>
                <w:szCs w:val="21"/>
              </w:rPr>
              <w:t>6.处罚决定；</w:t>
            </w:r>
            <w:r>
              <w:rPr>
                <w:rFonts w:hint="eastAsia" w:ascii="仿宋_GB2312" w:eastAsia="仿宋_GB2312"/>
                <w:color w:val="auto"/>
                <w:sz w:val="21"/>
                <w:szCs w:val="21"/>
              </w:rPr>
              <w:br w:type="textWrapping"/>
            </w:r>
            <w:r>
              <w:rPr>
                <w:rFonts w:hint="eastAsia" w:ascii="仿宋_GB2312" w:eastAsia="仿宋_GB2312"/>
                <w:color w:val="auto"/>
                <w:sz w:val="21"/>
                <w:szCs w:val="21"/>
              </w:rPr>
              <w:t>7.救济渠道。</w:t>
            </w: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《房产测绘管理办法》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6</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房产测绘单位房产面积测算失误，造成重大损失</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《房产测绘管理办法》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5"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7</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房地产经纪人员以个人名义承接房地产经纪业务和收取费用</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4"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8</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房地产经纪机构提供代办贷款、代办房地产登记等其他服务，未向委托人说明服务内容、收费标准等情况，并未经委托人同意</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6"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9</w:t>
            </w:r>
          </w:p>
        </w:tc>
        <w:tc>
          <w:tcPr>
            <w:tcW w:w="720" w:type="dxa"/>
            <w:vMerge w:val="restart"/>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房地产管理</w:t>
            </w: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房地产经纪服务合同未由从事该业务的一名房地产经纪人或者两名房地产经纪人协理签名</w:t>
            </w:r>
          </w:p>
        </w:tc>
        <w:tc>
          <w:tcPr>
            <w:tcW w:w="1980" w:type="dxa"/>
            <w:vMerge w:val="restart"/>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1.机构职能、权责清单、执法人员名单；</w:t>
            </w:r>
            <w:r>
              <w:rPr>
                <w:rFonts w:hint="eastAsia" w:ascii="仿宋_GB2312" w:eastAsia="仿宋_GB2312"/>
                <w:color w:val="auto"/>
                <w:sz w:val="21"/>
                <w:szCs w:val="21"/>
              </w:rPr>
              <w:br w:type="textWrapping"/>
            </w:r>
            <w:r>
              <w:rPr>
                <w:rFonts w:hint="eastAsia" w:ascii="仿宋_GB2312" w:eastAsia="仿宋_GB2312"/>
                <w:color w:val="auto"/>
                <w:sz w:val="21"/>
                <w:szCs w:val="21"/>
              </w:rPr>
              <w:t>2.执法程序或行政强制流程图；</w:t>
            </w:r>
            <w:r>
              <w:rPr>
                <w:rFonts w:hint="eastAsia" w:ascii="仿宋_GB2312" w:eastAsia="仿宋_GB2312"/>
                <w:color w:val="auto"/>
                <w:sz w:val="21"/>
                <w:szCs w:val="21"/>
              </w:rPr>
              <w:br w:type="textWrapping"/>
            </w:r>
            <w:r>
              <w:rPr>
                <w:rFonts w:hint="eastAsia" w:ascii="仿宋_GB2312" w:eastAsia="仿宋_GB2312"/>
                <w:color w:val="auto"/>
                <w:sz w:val="21"/>
                <w:szCs w:val="21"/>
              </w:rPr>
              <w:t>3.执法依据；</w:t>
            </w:r>
            <w:r>
              <w:rPr>
                <w:rFonts w:hint="eastAsia" w:ascii="仿宋_GB2312" w:eastAsia="仿宋_GB2312"/>
                <w:color w:val="auto"/>
                <w:sz w:val="21"/>
                <w:szCs w:val="21"/>
              </w:rPr>
              <w:br w:type="textWrapping"/>
            </w:r>
            <w:r>
              <w:rPr>
                <w:rFonts w:hint="eastAsia" w:ascii="仿宋_GB2312" w:eastAsia="仿宋_GB2312"/>
                <w:color w:val="auto"/>
                <w:sz w:val="21"/>
                <w:szCs w:val="21"/>
              </w:rPr>
              <w:t>4.行政处罚自由裁量基准；</w:t>
            </w:r>
            <w:r>
              <w:rPr>
                <w:rFonts w:hint="eastAsia" w:ascii="仿宋_GB2312" w:eastAsia="仿宋_GB2312"/>
                <w:color w:val="auto"/>
                <w:sz w:val="21"/>
                <w:szCs w:val="21"/>
              </w:rPr>
              <w:br w:type="textWrapping"/>
            </w:r>
            <w:r>
              <w:rPr>
                <w:rFonts w:hint="eastAsia" w:ascii="仿宋_GB2312" w:eastAsia="仿宋_GB2312"/>
                <w:color w:val="auto"/>
                <w:sz w:val="21"/>
                <w:szCs w:val="21"/>
              </w:rPr>
              <w:t>5.咨询、监督投诉方式；</w:t>
            </w:r>
            <w:r>
              <w:rPr>
                <w:rFonts w:hint="eastAsia" w:ascii="仿宋_GB2312" w:eastAsia="仿宋_GB2312"/>
                <w:color w:val="auto"/>
                <w:sz w:val="21"/>
                <w:szCs w:val="21"/>
              </w:rPr>
              <w:br w:type="textWrapping"/>
            </w:r>
            <w:r>
              <w:rPr>
                <w:rFonts w:hint="eastAsia" w:ascii="仿宋_GB2312" w:eastAsia="仿宋_GB2312"/>
                <w:color w:val="auto"/>
                <w:sz w:val="21"/>
                <w:szCs w:val="21"/>
              </w:rPr>
              <w:t>6.处罚决定；</w:t>
            </w:r>
            <w:r>
              <w:rPr>
                <w:rFonts w:hint="eastAsia" w:ascii="仿宋_GB2312" w:eastAsia="仿宋_GB2312"/>
                <w:color w:val="auto"/>
                <w:sz w:val="21"/>
                <w:szCs w:val="21"/>
              </w:rPr>
              <w:br w:type="textWrapping"/>
            </w:r>
            <w:r>
              <w:rPr>
                <w:rFonts w:hint="eastAsia" w:ascii="仿宋_GB2312" w:eastAsia="仿宋_GB2312"/>
                <w:color w:val="auto"/>
                <w:sz w:val="21"/>
                <w:szCs w:val="21"/>
              </w:rPr>
              <w:t>7.救济渠道。</w:t>
            </w: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10</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房地产经纪机构签订房地产经纪服务合同前，不向交易当事人说明和书面告知规定事项</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11</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房地产经纪机构未按照规定如实记录业务情况或者保存房地产经纪服务合同</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12</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房地产经纪机构擅自对外发布房源信息</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13</w:t>
            </w:r>
          </w:p>
        </w:tc>
        <w:tc>
          <w:tcPr>
            <w:tcW w:w="720" w:type="dxa"/>
            <w:vMerge w:val="restart"/>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房地产管理</w:t>
            </w: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房地产经纪机构擅自划转客户交易结算资金</w:t>
            </w:r>
          </w:p>
        </w:tc>
        <w:tc>
          <w:tcPr>
            <w:tcW w:w="1980" w:type="dxa"/>
            <w:vMerge w:val="restart"/>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1.机构职能、权责清单、执法人员名单；</w:t>
            </w:r>
            <w:r>
              <w:rPr>
                <w:rFonts w:hint="eastAsia" w:ascii="仿宋_GB2312" w:eastAsia="仿宋_GB2312"/>
                <w:color w:val="auto"/>
                <w:sz w:val="21"/>
                <w:szCs w:val="21"/>
              </w:rPr>
              <w:br w:type="textWrapping"/>
            </w:r>
            <w:r>
              <w:rPr>
                <w:rFonts w:hint="eastAsia" w:ascii="仿宋_GB2312" w:eastAsia="仿宋_GB2312"/>
                <w:color w:val="auto"/>
                <w:sz w:val="21"/>
                <w:szCs w:val="21"/>
              </w:rPr>
              <w:t>2.执法程序或行政强制流程图；</w:t>
            </w:r>
            <w:r>
              <w:rPr>
                <w:rFonts w:hint="eastAsia" w:ascii="仿宋_GB2312" w:eastAsia="仿宋_GB2312"/>
                <w:color w:val="auto"/>
                <w:sz w:val="21"/>
                <w:szCs w:val="21"/>
              </w:rPr>
              <w:br w:type="textWrapping"/>
            </w:r>
            <w:r>
              <w:rPr>
                <w:rFonts w:hint="eastAsia" w:ascii="仿宋_GB2312" w:eastAsia="仿宋_GB2312"/>
                <w:color w:val="auto"/>
                <w:sz w:val="21"/>
                <w:szCs w:val="21"/>
              </w:rPr>
              <w:t>3.执法依据；</w:t>
            </w:r>
            <w:r>
              <w:rPr>
                <w:rFonts w:hint="eastAsia" w:ascii="仿宋_GB2312" w:eastAsia="仿宋_GB2312"/>
                <w:color w:val="auto"/>
                <w:sz w:val="21"/>
                <w:szCs w:val="21"/>
              </w:rPr>
              <w:br w:type="textWrapping"/>
            </w:r>
            <w:r>
              <w:rPr>
                <w:rFonts w:hint="eastAsia" w:ascii="仿宋_GB2312" w:eastAsia="仿宋_GB2312"/>
                <w:color w:val="auto"/>
                <w:sz w:val="21"/>
                <w:szCs w:val="21"/>
              </w:rPr>
              <w:t>4.行政处罚自由裁量基准；</w:t>
            </w:r>
            <w:r>
              <w:rPr>
                <w:rFonts w:hint="eastAsia" w:ascii="仿宋_GB2312" w:eastAsia="仿宋_GB2312"/>
                <w:color w:val="auto"/>
                <w:sz w:val="21"/>
                <w:szCs w:val="21"/>
              </w:rPr>
              <w:br w:type="textWrapping"/>
            </w:r>
            <w:r>
              <w:rPr>
                <w:rFonts w:hint="eastAsia" w:ascii="仿宋_GB2312" w:eastAsia="仿宋_GB2312"/>
                <w:color w:val="auto"/>
                <w:sz w:val="21"/>
                <w:szCs w:val="21"/>
              </w:rPr>
              <w:t>5.咨询、监督投诉方式；</w:t>
            </w:r>
            <w:r>
              <w:rPr>
                <w:rFonts w:hint="eastAsia" w:ascii="仿宋_GB2312" w:eastAsia="仿宋_GB2312"/>
                <w:color w:val="auto"/>
                <w:sz w:val="21"/>
                <w:szCs w:val="21"/>
              </w:rPr>
              <w:br w:type="textWrapping"/>
            </w:r>
            <w:r>
              <w:rPr>
                <w:rFonts w:hint="eastAsia" w:ascii="仿宋_GB2312" w:eastAsia="仿宋_GB2312"/>
                <w:color w:val="auto"/>
                <w:sz w:val="21"/>
                <w:szCs w:val="21"/>
              </w:rPr>
              <w:t>6.处罚决定；</w:t>
            </w:r>
            <w:r>
              <w:rPr>
                <w:rFonts w:hint="eastAsia" w:ascii="仿宋_GB2312" w:eastAsia="仿宋_GB2312"/>
                <w:color w:val="auto"/>
                <w:sz w:val="21"/>
                <w:szCs w:val="21"/>
              </w:rPr>
              <w:br w:type="textWrapping"/>
            </w:r>
            <w:r>
              <w:rPr>
                <w:rFonts w:hint="eastAsia" w:ascii="仿宋_GB2312" w:eastAsia="仿宋_GB2312"/>
                <w:color w:val="auto"/>
                <w:sz w:val="21"/>
                <w:szCs w:val="21"/>
              </w:rPr>
              <w:t>7.救济渠道。</w:t>
            </w: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14</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房地产经纪机构和房地产经纪人员以隐瞒、欺诈、胁迫、贿赂等不正当手段招揽业务，诱骗消费者交易或者强制交易</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9"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15</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房地产经纪机构和房地产经纪人员泄露或者不当使用委托人的个人信息或者商业秘密，谋取不正当利益</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16</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为交易当事人规避房屋交易税费等非法目的，房地产经纪机构和房地产经纪人员就同一房屋签订不同交易价款的合同提供便利</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bl>
    <w:p>
      <w:pPr>
        <w:rPr>
          <w:rFonts w:ascii="楷体_GB2312" w:eastAsia="楷体_GB2312"/>
          <w:color w:val="auto"/>
          <w:sz w:val="30"/>
          <w:szCs w:val="30"/>
        </w:rPr>
      </w:pPr>
      <w:r>
        <w:rPr>
          <w:rFonts w:hint="eastAsia" w:ascii="楷体_GB2312" w:eastAsia="楷体_GB2312"/>
          <w:color w:val="auto"/>
          <w:sz w:val="30"/>
          <w:szCs w:val="30"/>
        </w:rPr>
        <w:t>备注：考虑到篇幅原因，城市综合执法领域基层政务公开标准目录其他内容略。</w:t>
      </w:r>
    </w:p>
    <w:p>
      <w:pPr>
        <w:rPr>
          <w:color w:val="auto"/>
        </w:rPr>
      </w:pPr>
    </w:p>
    <w:p>
      <w:pPr>
        <w:jc w:val="left"/>
        <w:rPr>
          <w:rFonts w:hint="eastAsia" w:ascii="Times New Roman" w:hAnsi="Times New Roman" w:eastAsia="方正小标宋_GBK"/>
          <w:color w:val="auto"/>
          <w:sz w:val="28"/>
          <w:szCs w:val="28"/>
        </w:rPr>
      </w:pPr>
    </w:p>
    <w:p/>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Fonts w:hint="eastAsia"/>
      </w:rPr>
    </w:pPr>
  </w:p>
  <w:p>
    <w:pPr>
      <w:pStyle w:val="3"/>
      <w:jc w:val="center"/>
      <w:rPr>
        <w:rFonts w:hint="eastAsia"/>
      </w:rPr>
    </w:pPr>
    <w:r>
      <w:fldChar w:fldCharType="begin"/>
    </w:r>
    <w:r>
      <w:rPr>
        <w:rStyle w:val="6"/>
      </w:rPr>
      <w:instrText xml:space="preserve"> PAGE </w:instrText>
    </w:r>
    <w:r>
      <w:fldChar w:fldCharType="separate"/>
    </w:r>
    <w:r>
      <w:rPr>
        <w:rStyle w:val="6"/>
      </w:rPr>
      <w:t>103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rPr>
        <w:rStyle w:val="6"/>
      </w:rPr>
      <w:instrText xml:space="preserve"> PAGE </w:instrText>
    </w:r>
    <w:r>
      <w:fldChar w:fldCharType="separate"/>
    </w:r>
    <w:r>
      <w:rPr>
        <w:rStyle w:val="6"/>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YTFiODcwYjBlYzg1ZWEzOThkN2RmODIzY2Y0MjUifQ=="/>
  </w:docVars>
  <w:rsids>
    <w:rsidRoot w:val="79631CF4"/>
    <w:rsid w:val="0B600149"/>
    <w:rsid w:val="10AE2EC5"/>
    <w:rsid w:val="3993044B"/>
    <w:rsid w:val="3B091BAE"/>
    <w:rsid w:val="3D3B6134"/>
    <w:rsid w:val="70C62CA0"/>
    <w:rsid w:val="79631CF4"/>
    <w:rsid w:val="7C570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2234</Words>
  <Characters>2317</Characters>
  <Lines>0</Lines>
  <Paragraphs>0</Paragraphs>
  <TotalTime>185</TotalTime>
  <ScaleCrop>false</ScaleCrop>
  <LinksUpToDate>false</LinksUpToDate>
  <CharactersWithSpaces>2351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2020-11-30T08:40:00Z</dcterms:created>
  <dc:creator>Administrator</dc:creator>
  <cp:lastModifiedBy>HP</cp:lastModifiedBy>
  <dcterms:modified xsi:type="dcterms:W3CDTF">2023-05-24T09:57:32Z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74E58EAA436C46A6BB387C47DAACC149_13</vt:lpwstr>
  </property>
</Properties>
</file>