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ECF6B">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default" w:ascii="黑体" w:hAnsi="黑体" w:eastAsia="黑体" w:cs="黑体"/>
          <w:spacing w:val="0"/>
          <w:w w:val="100"/>
          <w:kern w:val="21"/>
          <w:sz w:val="32"/>
          <w:lang w:val="en-US" w:eastAsia="zh-CN"/>
        </w:rPr>
      </w:pPr>
      <w:r>
        <w:rPr>
          <w:rFonts w:hint="eastAsia" w:ascii="黑体" w:hAnsi="黑体" w:eastAsia="黑体" w:cs="黑体"/>
          <w:spacing w:val="0"/>
          <w:w w:val="100"/>
          <w:kern w:val="21"/>
          <w:sz w:val="32"/>
          <w:lang w:val="en-US" w:eastAsia="zh-CN"/>
        </w:rPr>
        <w:t>附件1</w:t>
      </w:r>
    </w:p>
    <w:p w14:paraId="14599339">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eastAsia" w:ascii="NEU-BZ-S92" w:hAnsi="NEU-BZ-S92" w:eastAsia="方正仿宋简体"/>
          <w:spacing w:val="0"/>
          <w:w w:val="100"/>
          <w:kern w:val="21"/>
          <w:sz w:val="32"/>
          <w:lang w:val="en-US" w:eastAsia="zh-CN"/>
        </w:rPr>
      </w:pPr>
    </w:p>
    <w:p w14:paraId="2A7D552A">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微软雅黑" w:hAnsi="微软雅黑" w:eastAsia="微软雅黑" w:cs="微软雅黑"/>
          <w:b w:val="0"/>
          <w:bCs/>
          <w:spacing w:val="0"/>
          <w:kern w:val="21"/>
          <w:sz w:val="44"/>
          <w:szCs w:val="44"/>
        </w:rPr>
      </w:pPr>
      <w:r>
        <w:rPr>
          <w:rFonts w:hint="eastAsia" w:ascii="微软雅黑" w:hAnsi="微软雅黑" w:eastAsia="微软雅黑" w:cs="微软雅黑"/>
          <w:b w:val="0"/>
          <w:bCs/>
          <w:spacing w:val="0"/>
          <w:kern w:val="21"/>
          <w:sz w:val="44"/>
          <w:szCs w:val="44"/>
          <w:lang w:val="en-US" w:eastAsia="zh-CN"/>
        </w:rPr>
        <w:t>揭东区</w:t>
      </w:r>
      <w:r>
        <w:rPr>
          <w:rFonts w:hint="eastAsia" w:ascii="微软雅黑" w:hAnsi="微软雅黑" w:eastAsia="微软雅黑" w:cs="微软雅黑"/>
          <w:b w:val="0"/>
          <w:bCs/>
          <w:spacing w:val="0"/>
          <w:kern w:val="21"/>
          <w:sz w:val="44"/>
          <w:szCs w:val="44"/>
        </w:rPr>
        <w:t>人民政府关于将部</w:t>
      </w:r>
      <w:r>
        <w:rPr>
          <w:rFonts w:hint="eastAsia" w:ascii="微软雅黑" w:hAnsi="微软雅黑" w:eastAsia="微软雅黑" w:cs="微软雅黑"/>
          <w:b w:val="0"/>
          <w:bCs/>
          <w:spacing w:val="0"/>
          <w:kern w:val="21"/>
          <w:sz w:val="44"/>
          <w:szCs w:val="44"/>
          <w:lang w:eastAsia="zh-CN"/>
        </w:rPr>
        <w:t>分</w:t>
      </w:r>
      <w:r>
        <w:rPr>
          <w:rFonts w:hint="eastAsia" w:ascii="微软雅黑" w:hAnsi="微软雅黑" w:eastAsia="微软雅黑" w:cs="微软雅黑"/>
          <w:b w:val="0"/>
          <w:bCs/>
          <w:spacing w:val="0"/>
          <w:kern w:val="21"/>
          <w:sz w:val="44"/>
          <w:szCs w:val="44"/>
        </w:rPr>
        <w:t>县级政府部门行政</w:t>
      </w:r>
    </w:p>
    <w:p w14:paraId="67F73D59">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微软雅黑" w:hAnsi="微软雅黑" w:eastAsia="微软雅黑" w:cs="微软雅黑"/>
          <w:spacing w:val="0"/>
          <w:w w:val="100"/>
          <w:kern w:val="21"/>
          <w:sz w:val="44"/>
          <w:szCs w:val="44"/>
          <w:lang w:eastAsia="zh-CN"/>
        </w:rPr>
      </w:pPr>
      <w:r>
        <w:rPr>
          <w:rFonts w:hint="eastAsia" w:ascii="微软雅黑" w:hAnsi="微软雅黑" w:eastAsia="微软雅黑" w:cs="微软雅黑"/>
          <w:b w:val="0"/>
          <w:bCs/>
          <w:spacing w:val="0"/>
          <w:kern w:val="21"/>
          <w:sz w:val="44"/>
          <w:szCs w:val="44"/>
        </w:rPr>
        <w:t>处罚权调整由镇</w:t>
      </w:r>
      <w:r>
        <w:rPr>
          <w:rFonts w:hint="eastAsia" w:ascii="微软雅黑" w:hAnsi="微软雅黑" w:eastAsia="微软雅黑" w:cs="微软雅黑"/>
          <w:b w:val="0"/>
          <w:bCs/>
          <w:spacing w:val="0"/>
          <w:kern w:val="21"/>
          <w:sz w:val="44"/>
          <w:szCs w:val="44"/>
          <w:lang w:eastAsia="zh-CN"/>
        </w:rPr>
        <w:t>（</w:t>
      </w:r>
      <w:r>
        <w:rPr>
          <w:rFonts w:hint="eastAsia" w:ascii="微软雅黑" w:hAnsi="微软雅黑" w:eastAsia="微软雅黑" w:cs="微软雅黑"/>
          <w:b w:val="0"/>
          <w:bCs/>
          <w:spacing w:val="0"/>
          <w:kern w:val="21"/>
          <w:sz w:val="44"/>
          <w:szCs w:val="44"/>
        </w:rPr>
        <w:t>街道</w:t>
      </w:r>
      <w:r>
        <w:rPr>
          <w:rFonts w:hint="eastAsia" w:ascii="微软雅黑" w:hAnsi="微软雅黑" w:eastAsia="微软雅黑" w:cs="微软雅黑"/>
          <w:b w:val="0"/>
          <w:bCs/>
          <w:spacing w:val="0"/>
          <w:kern w:val="21"/>
          <w:sz w:val="44"/>
          <w:szCs w:val="44"/>
          <w:lang w:eastAsia="zh-CN"/>
        </w:rPr>
        <w:t>）</w:t>
      </w:r>
      <w:r>
        <w:rPr>
          <w:rFonts w:hint="eastAsia" w:ascii="微软雅黑" w:hAnsi="微软雅黑" w:eastAsia="微软雅黑" w:cs="微软雅黑"/>
          <w:b w:val="0"/>
          <w:bCs/>
          <w:spacing w:val="0"/>
          <w:kern w:val="21"/>
          <w:sz w:val="44"/>
          <w:szCs w:val="44"/>
        </w:rPr>
        <w:t>行使的</w:t>
      </w:r>
      <w:r>
        <w:rPr>
          <w:rFonts w:hint="eastAsia" w:ascii="微软雅黑" w:hAnsi="微软雅黑" w:eastAsia="微软雅黑" w:cs="微软雅黑"/>
          <w:b w:val="0"/>
          <w:bCs/>
          <w:spacing w:val="0"/>
          <w:kern w:val="21"/>
          <w:sz w:val="44"/>
          <w:szCs w:val="44"/>
          <w:lang w:eastAsia="zh-CN"/>
        </w:rPr>
        <w:t>公告</w:t>
      </w:r>
    </w:p>
    <w:p w14:paraId="2B0EF3BE">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楷体_GB2312" w:hAnsi="楷体_GB2312" w:eastAsia="楷体_GB2312" w:cs="楷体_GB2312"/>
          <w:b w:val="0"/>
          <w:spacing w:val="6"/>
          <w:sz w:val="32"/>
          <w:szCs w:val="30"/>
        </w:rPr>
      </w:pPr>
      <w:r>
        <w:rPr>
          <w:rFonts w:hint="eastAsia" w:ascii="楷体_GB2312" w:hAnsi="楷体_GB2312" w:eastAsia="楷体_GB2312" w:cs="楷体_GB2312"/>
          <w:spacing w:val="0"/>
          <w:w w:val="100"/>
          <w:kern w:val="21"/>
          <w:sz w:val="32"/>
          <w:szCs w:val="32"/>
        </w:rPr>
        <w:t>（</w:t>
      </w:r>
      <w:r>
        <w:rPr>
          <w:rFonts w:hint="eastAsia" w:ascii="楷体_GB2312" w:hAnsi="楷体_GB2312" w:eastAsia="楷体_GB2312" w:cs="楷体_GB2312"/>
          <w:spacing w:val="0"/>
          <w:w w:val="100"/>
          <w:kern w:val="21"/>
          <w:sz w:val="32"/>
          <w:szCs w:val="32"/>
          <w:lang w:val="en-US" w:eastAsia="zh-CN"/>
        </w:rPr>
        <w:t>征求意见</w:t>
      </w:r>
      <w:r>
        <w:rPr>
          <w:rFonts w:hint="eastAsia" w:ascii="楷体_GB2312" w:hAnsi="楷体_GB2312" w:eastAsia="楷体_GB2312" w:cs="楷体_GB2312"/>
          <w:spacing w:val="0"/>
          <w:w w:val="100"/>
          <w:kern w:val="21"/>
          <w:sz w:val="32"/>
          <w:szCs w:val="32"/>
        </w:rPr>
        <w:t>稿）</w:t>
      </w:r>
    </w:p>
    <w:p w14:paraId="27097DFB">
      <w:pPr>
        <w:keepNext w:val="0"/>
        <w:keepLines w:val="0"/>
        <w:pageBreakBefore w:val="0"/>
        <w:widowControl/>
        <w:kinsoku w:val="0"/>
        <w:wordWrap/>
        <w:overflowPunct/>
        <w:topLinePunct w:val="0"/>
        <w:autoSpaceDE/>
        <w:autoSpaceDN/>
        <w:bidi w:val="0"/>
        <w:adjustRightInd/>
        <w:snapToGrid/>
        <w:spacing w:line="600" w:lineRule="exact"/>
        <w:ind w:left="0" w:right="0" w:firstLine="640" w:firstLineChars="200"/>
        <w:jc w:val="both"/>
        <w:textAlignment w:val="baseline"/>
        <w:rPr>
          <w:rFonts w:hint="eastAsia" w:ascii="NEU-BZ-S92" w:hAnsi="NEU-BZ-S92" w:eastAsia="方正仿宋简体" w:cs="仿宋"/>
          <w:b w:val="0"/>
          <w:snapToGrid/>
          <w:spacing w:val="0"/>
          <w:sz w:val="32"/>
          <w:szCs w:val="30"/>
          <w:lang w:eastAsia="zh-CN"/>
        </w:rPr>
      </w:pPr>
    </w:p>
    <w:p w14:paraId="738C85ED">
      <w:pPr>
        <w:keepNext w:val="0"/>
        <w:keepLines w:val="0"/>
        <w:pageBreakBefore w:val="0"/>
        <w:widowControl/>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为贯彻落实中共中央办公厅、国务院办公厅《关于推进基层整合审批服务执法力量的实施意见》和中共广东省委《关于深化乡镇街道体制改革完善基层治理体系的意见》部署要求，确保镇街综合行政执法赋权工作与镇街履职事项清单实施工作相衔接，</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根据《中华人民共和国行政处罚法》《中华人民共和国行政强制法》</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等相关法律法规规定，以及</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广东省人民政府</w:t>
      </w:r>
      <w:r>
        <w:rPr>
          <w:rFonts w:hint="eastAsia" w:ascii="仿宋_GB2312" w:hAnsi="仿宋_GB2312" w:eastAsia="仿宋_GB2312" w:cs="仿宋_GB2312"/>
          <w:b w:val="0"/>
          <w:snapToGrid/>
          <w:color w:val="000000" w:themeColor="text1"/>
          <w:spacing w:val="17"/>
          <w:sz w:val="32"/>
          <w:szCs w:val="30"/>
          <w14:textFill>
            <w14:solidFill>
              <w14:schemeClr w14:val="tx1"/>
            </w14:solidFill>
          </w14:textFill>
        </w:rPr>
        <w:t>关于同意将部分县级政府部门行政处罚权调整由揭阳市乡镇</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（街道）行使的批复</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》（粤府函〔2025〕281号，</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下称省政府批复</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等规定</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，现将</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我区</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部分</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县级政府部门行政处罚权</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调整由镇（街道）行使，具体事项公告如下</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w:t>
      </w:r>
    </w:p>
    <w:p w14:paraId="527F7D8A">
      <w:pPr>
        <w:keepNext w:val="0"/>
        <w:keepLines w:val="0"/>
        <w:pageBreakBefore w:val="0"/>
        <w:widowControl w:val="0"/>
        <w:numPr>
          <w:ilvl w:val="0"/>
          <w:numId w:val="1"/>
        </w:numPr>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自</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本公告实施之日</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起，</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调整由</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以其自身名义</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继续实施的</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行政处罚事项</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共计26项，具体事项详见附件</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揭东区</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镇（街道）</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承接县级行政处罚事项目录</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行政处罚权调整实施后，与之相关的行政检查权、行政强制权由镇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一并实施。相关行政处罚事项的法律、法规、规章依据修改或者废止的，适用新的规定。</w:t>
      </w:r>
    </w:p>
    <w:p w14:paraId="1E4AC8CA">
      <w:pPr>
        <w:keepNext w:val="0"/>
        <w:keepLines w:val="0"/>
        <w:pageBreakBefore w:val="0"/>
        <w:widowControl w:val="0"/>
        <w:numPr>
          <w:ilvl w:val="0"/>
          <w:numId w:val="1"/>
        </w:numPr>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本公告实施</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前交由镇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实施的</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在</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省政府</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批复范围外的</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其他</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行政</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处罚事项及相关行政检查权、行政强制权</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不再</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行使</w:t>
      </w:r>
      <w:r>
        <w:rPr>
          <w:rFonts w:hint="eastAsia" w:ascii="仿宋_GB2312" w:hAnsi="仿宋_GB2312" w:eastAsia="仿宋_GB2312" w:cs="仿宋_GB2312"/>
          <w:b w:val="0"/>
          <w:snapToGrid/>
          <w:color w:val="000000" w:themeColor="text1"/>
          <w:spacing w:val="0"/>
          <w:sz w:val="32"/>
          <w:szCs w:val="30"/>
          <w:highlight w:val="none"/>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highlight w:val="none"/>
          <w:lang w:val="en-US" w:eastAsia="zh-CN"/>
          <w14:textFill>
            <w14:solidFill>
              <w14:schemeClr w14:val="tx1"/>
            </w14:solidFill>
          </w14:textFill>
        </w:rPr>
        <w:t>交回相关法律、法规、规章规定的行政执法</w:t>
      </w:r>
      <w:r>
        <w:rPr>
          <w:rFonts w:hint="eastAsia" w:ascii="仿宋_GB2312" w:hAnsi="仿宋_GB2312" w:eastAsia="仿宋_GB2312" w:cs="仿宋_GB2312"/>
          <w:b w:val="0"/>
          <w:snapToGrid/>
          <w:color w:val="000000" w:themeColor="text1"/>
          <w:spacing w:val="0"/>
          <w:sz w:val="32"/>
          <w:szCs w:val="30"/>
          <w:highlight w:val="none"/>
          <w:lang w:eastAsia="zh-CN"/>
          <w14:textFill>
            <w14:solidFill>
              <w14:schemeClr w14:val="tx1"/>
            </w14:solidFill>
          </w14:textFill>
        </w:rPr>
        <w:t>部门</w:t>
      </w:r>
      <w:r>
        <w:rPr>
          <w:rFonts w:hint="eastAsia" w:ascii="仿宋_GB2312" w:hAnsi="仿宋_GB2312" w:eastAsia="仿宋_GB2312" w:cs="仿宋_GB2312"/>
          <w:b w:val="0"/>
          <w:snapToGrid/>
          <w:color w:val="000000" w:themeColor="text1"/>
          <w:spacing w:val="0"/>
          <w:sz w:val="32"/>
          <w:szCs w:val="30"/>
          <w:highlight w:val="none"/>
          <w:lang w:val="en-US" w:eastAsia="zh-CN"/>
          <w14:textFill>
            <w14:solidFill>
              <w14:schemeClr w14:val="tx1"/>
            </w14:solidFill>
          </w14:textFill>
        </w:rPr>
        <w:t>负责实施。为确保行政执法工作的连续性和稳定性，对于镇（街道）在本公告实施前</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已经立案</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但</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尚未办结的案件，仍由原立案的</w:t>
      </w:r>
      <w:r>
        <w:rPr>
          <w:rFonts w:hint="eastAsia" w:ascii="仿宋_GB2312" w:hAnsi="仿宋_GB2312" w:eastAsia="仿宋_GB2312" w:cs="仿宋_GB2312"/>
          <w:b w:val="0"/>
          <w:snapToGrid/>
          <w:color w:val="000000" w:themeColor="text1"/>
          <w:spacing w:val="0"/>
          <w:sz w:val="32"/>
          <w:szCs w:val="30"/>
          <w:highlight w:val="none"/>
          <w:lang w:val="en-US" w:eastAsia="zh-CN"/>
          <w14:textFill>
            <w14:solidFill>
              <w14:schemeClr w14:val="tx1"/>
            </w14:solidFill>
          </w14:textFill>
        </w:rPr>
        <w:t>镇（街道）</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继续办理</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未列入</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省政府</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批复范围内的其他县级政府部门行政处罚权未经法定程序，不得擅自交由镇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实施。</w:t>
      </w:r>
    </w:p>
    <w:p w14:paraId="1C4E3571">
      <w:pPr>
        <w:keepNext w:val="0"/>
        <w:keepLines w:val="0"/>
        <w:pageBreakBefore w:val="0"/>
        <w:widowControl w:val="0"/>
        <w:numPr>
          <w:ilvl w:val="0"/>
          <w:numId w:val="1"/>
        </w:numPr>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相关县级政府部门行政执法权调整由镇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行使后，跨行政区域的案件和县级政府及其部门认为有较大影响的案件，仍由县级政府部门负责。镇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与县级政府部门对行政执法案件管辖权存在争议的，应当协商解决；协商不成的</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报请</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区</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政府协调决定。</w:t>
      </w:r>
    </w:p>
    <w:p w14:paraId="2B5EBE74">
      <w:pPr>
        <w:keepNext w:val="0"/>
        <w:keepLines w:val="0"/>
        <w:pageBreakBefore w:val="0"/>
        <w:widowControl w:val="0"/>
        <w:numPr>
          <w:ilvl w:val="0"/>
          <w:numId w:val="1"/>
        </w:numPr>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县</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相关行政执法</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部门应当加强组织协调、业务指导、执法监督，建立健全行政处罚协调配合机制，不得重放轻管。</w:t>
      </w:r>
    </w:p>
    <w:p w14:paraId="7083C03C">
      <w:pPr>
        <w:keepNext w:val="0"/>
        <w:keepLines w:val="0"/>
        <w:pageBreakBefore w:val="0"/>
        <w:widowControl w:val="0"/>
        <w:numPr>
          <w:ilvl w:val="0"/>
          <w:numId w:val="1"/>
        </w:numPr>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各镇</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街道</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应当加强执法能力建设，按照规定范围</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依照法定程序实施行政执法。要</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坚持严格规范公正文明执法，严格执行</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行政执法公示制度</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行政执法全过程记录制度和重大</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行政</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执法决定法制审核制度</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积极推行包容审慎监管方式，全面提升行政执法质效。</w:t>
      </w:r>
    </w:p>
    <w:p w14:paraId="4F4EFE60">
      <w:pPr>
        <w:keepNext w:val="0"/>
        <w:keepLines w:val="0"/>
        <w:pageBreakBefore w:val="0"/>
        <w:widowControl/>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六、本公告自</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发布之日</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起</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施行</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原</w:t>
      </w:r>
      <w:r>
        <w:rPr>
          <w:rFonts w:hint="eastAsia" w:ascii="仿宋_GB2312" w:hAnsi="仿宋_GB2312" w:eastAsia="仿宋_GB2312" w:cs="仿宋_GB2312"/>
          <w:snapToGrid w:val="0"/>
          <w:color w:val="000000" w:themeColor="text1"/>
          <w:w w:val="100"/>
          <w:kern w:val="0"/>
          <w:sz w:val="32"/>
          <w:szCs w:val="21"/>
          <w:lang w:eastAsia="zh-CN"/>
          <w14:textFill>
            <w14:solidFill>
              <w14:schemeClr w14:val="tx1"/>
            </w14:solidFill>
          </w14:textFill>
        </w:rPr>
        <w:t>《</w:t>
      </w:r>
      <w:r>
        <w:rPr>
          <w:rFonts w:hint="eastAsia" w:ascii="仿宋_GB2312" w:hAnsi="仿宋_GB2312" w:eastAsia="仿宋_GB2312" w:cs="仿宋_GB2312"/>
          <w:snapToGrid w:val="0"/>
          <w:color w:val="000000" w:themeColor="text1"/>
          <w:w w:val="100"/>
          <w:kern w:val="0"/>
          <w:sz w:val="32"/>
          <w:szCs w:val="21"/>
          <w:lang w:val="en-US" w:eastAsia="zh-CN"/>
          <w14:textFill>
            <w14:solidFill>
              <w14:schemeClr w14:val="tx1"/>
            </w14:solidFill>
          </w14:textFill>
        </w:rPr>
        <w:t>揭阳市揭东区人民政府关于镇街道综合行政执法的公告》（揭东府公〔2021〕1号）</w:t>
      </w:r>
      <w:r>
        <w:rPr>
          <w:rFonts w:hint="eastAsia" w:ascii="仿宋_GB2312" w:hAnsi="仿宋_GB2312" w:eastAsia="仿宋_GB2312" w:cs="仿宋_GB2312"/>
          <w:color w:val="000000" w:themeColor="text1"/>
          <w:spacing w:val="0"/>
          <w:w w:val="100"/>
          <w:kern w:val="21"/>
          <w:sz w:val="32"/>
          <w:lang w:eastAsia="zh-CN"/>
          <w14:textFill>
            <w14:solidFill>
              <w14:schemeClr w14:val="tx1"/>
            </w14:solidFill>
          </w14:textFill>
        </w:rPr>
        <w:t>同时废止。</w:t>
      </w:r>
    </w:p>
    <w:p w14:paraId="5DE0C9B5">
      <w:pPr>
        <w:keepNext w:val="0"/>
        <w:keepLines w:val="0"/>
        <w:pageBreakBefore w:val="0"/>
        <w:widowControl/>
        <w:kinsoku w:val="0"/>
        <w:wordWrap/>
        <w:overflowPunct/>
        <w:topLinePunct w:val="0"/>
        <w:autoSpaceDE/>
        <w:autoSpaceDN/>
        <w:bidi w:val="0"/>
        <w:adjustRightInd/>
        <w:snapToGrid/>
        <w:spacing w:line="580" w:lineRule="exact"/>
        <w:ind w:left="0" w:right="0" w:firstLine="640" w:firstLineChars="200"/>
        <w:jc w:val="both"/>
        <w:textAlignment w:val="baseline"/>
        <w:rPr>
          <w:rFonts w:hint="eastAsia" w:ascii="仿宋_GB2312" w:hAnsi="仿宋_GB2312" w:eastAsia="仿宋_GB2312" w:cs="仿宋_GB2312"/>
          <w:b w:val="0"/>
          <w:snapToGrid/>
          <w:color w:val="000000" w:themeColor="text1"/>
          <w:spacing w:val="0"/>
          <w:sz w:val="32"/>
          <w14:textFill>
            <w14:solidFill>
              <w14:schemeClr w14:val="tx1"/>
            </w14:solidFill>
          </w14:textFill>
        </w:rPr>
      </w:pPr>
    </w:p>
    <w:p w14:paraId="1B61A431">
      <w:pPr>
        <w:keepNext w:val="0"/>
        <w:keepLines w:val="0"/>
        <w:pageBreakBefore w:val="0"/>
        <w:widowControl/>
        <w:kinsoku w:val="0"/>
        <w:wordWrap/>
        <w:overflowPunct/>
        <w:topLinePunct w:val="0"/>
        <w:autoSpaceDE/>
        <w:autoSpaceDN/>
        <w:bidi w:val="0"/>
        <w:adjustRightInd/>
        <w:snapToGrid/>
        <w:spacing w:line="580" w:lineRule="exact"/>
        <w:ind w:left="1598" w:leftChars="304" w:right="0" w:hanging="960" w:hangingChars="300"/>
        <w:jc w:val="both"/>
        <w:textAlignment w:val="baseline"/>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pP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附件：</w:t>
      </w:r>
      <w:r>
        <w:rPr>
          <w:rFonts w:hint="eastAsia" w:ascii="仿宋_GB2312" w:hAnsi="仿宋_GB2312" w:eastAsia="仿宋_GB2312" w:cs="仿宋_GB2312"/>
          <w:b w:val="0"/>
          <w:snapToGrid/>
          <w:color w:val="000000" w:themeColor="text1"/>
          <w:spacing w:val="0"/>
          <w:sz w:val="32"/>
          <w:szCs w:val="30"/>
          <w:lang w:val="en-US" w:eastAsia="zh-CN"/>
          <w14:textFill>
            <w14:solidFill>
              <w14:schemeClr w14:val="tx1"/>
            </w14:solidFill>
          </w14:textFill>
        </w:rPr>
        <w:t>揭东区</w:t>
      </w:r>
      <w:r>
        <w:rPr>
          <w:rFonts w:hint="eastAsia" w:ascii="仿宋_GB2312" w:hAnsi="仿宋_GB2312" w:eastAsia="仿宋_GB2312" w:cs="仿宋_GB2312"/>
          <w:b w:val="0"/>
          <w:snapToGrid/>
          <w:color w:val="000000" w:themeColor="text1"/>
          <w:spacing w:val="0"/>
          <w:sz w:val="32"/>
          <w:szCs w:val="30"/>
          <w:lang w:eastAsia="zh-CN"/>
          <w14:textFill>
            <w14:solidFill>
              <w14:schemeClr w14:val="tx1"/>
            </w14:solidFill>
          </w14:textFill>
        </w:rPr>
        <w:t>镇（街道）</w:t>
      </w:r>
      <w:r>
        <w:rPr>
          <w:rFonts w:hint="eastAsia" w:ascii="仿宋_GB2312" w:hAnsi="仿宋_GB2312" w:eastAsia="仿宋_GB2312" w:cs="仿宋_GB2312"/>
          <w:b w:val="0"/>
          <w:snapToGrid/>
          <w:color w:val="000000" w:themeColor="text1"/>
          <w:spacing w:val="0"/>
          <w:sz w:val="32"/>
          <w:szCs w:val="30"/>
          <w14:textFill>
            <w14:solidFill>
              <w14:schemeClr w14:val="tx1"/>
            </w14:solidFill>
          </w14:textFill>
        </w:rPr>
        <w:t>承接县级行政处罚事项目录</w:t>
      </w:r>
    </w:p>
    <w:p w14:paraId="1FEACD88">
      <w:pPr>
        <w:keepNext w:val="0"/>
        <w:keepLines w:val="0"/>
        <w:pageBreakBefore w:val="0"/>
        <w:widowControl/>
        <w:kinsoku w:val="0"/>
        <w:wordWrap/>
        <w:overflowPunct/>
        <w:topLinePunct w:val="0"/>
        <w:autoSpaceDE/>
        <w:autoSpaceDN/>
        <w:bidi w:val="0"/>
        <w:adjustRightInd/>
        <w:snapToGrid/>
        <w:spacing w:line="580" w:lineRule="exact"/>
        <w:ind w:left="0" w:leftChars="0" w:right="0" w:firstLine="640" w:firstLineChars="200"/>
        <w:jc w:val="both"/>
        <w:textAlignment w:val="baseline"/>
        <w:rPr>
          <w:rFonts w:hint="eastAsia" w:ascii="仿宋_GB2312" w:hAnsi="仿宋_GB2312" w:eastAsia="仿宋_GB2312" w:cs="仿宋_GB2312"/>
          <w:b w:val="0"/>
          <w:snapToGrid/>
          <w:color w:val="000000" w:themeColor="text1"/>
          <w:spacing w:val="0"/>
          <w:sz w:val="32"/>
          <w14:textFill>
            <w14:solidFill>
              <w14:schemeClr w14:val="tx1"/>
            </w14:solidFill>
          </w14:textFill>
        </w:rPr>
      </w:pPr>
    </w:p>
    <w:p w14:paraId="503963BA">
      <w:pPr>
        <w:keepNext w:val="0"/>
        <w:keepLines w:val="0"/>
        <w:pageBreakBefore w:val="0"/>
        <w:widowControl/>
        <w:kinsoku w:val="0"/>
        <w:wordWrap/>
        <w:overflowPunct/>
        <w:topLinePunct w:val="0"/>
        <w:autoSpaceDE/>
        <w:autoSpaceDN/>
        <w:bidi w:val="0"/>
        <w:adjustRightInd/>
        <w:snapToGrid/>
        <w:spacing w:line="580" w:lineRule="exact"/>
        <w:ind w:left="0" w:leftChars="0" w:right="0" w:firstLine="640" w:firstLineChars="200"/>
        <w:jc w:val="both"/>
        <w:textAlignment w:val="baseline"/>
        <w:rPr>
          <w:rFonts w:hint="eastAsia" w:ascii="仿宋_GB2312" w:hAnsi="仿宋_GB2312" w:eastAsia="仿宋_GB2312" w:cs="仿宋_GB2312"/>
          <w:b w:val="0"/>
          <w:snapToGrid/>
          <w:color w:val="000000" w:themeColor="text1"/>
          <w:spacing w:val="0"/>
          <w:sz w:val="32"/>
          <w14:textFill>
            <w14:solidFill>
              <w14:schemeClr w14:val="tx1"/>
            </w14:solidFill>
          </w14:textFill>
        </w:rPr>
      </w:pPr>
    </w:p>
    <w:p w14:paraId="5F7F6CEB">
      <w:pPr>
        <w:keepNext w:val="0"/>
        <w:keepLines w:val="0"/>
        <w:pageBreakBefore w:val="0"/>
        <w:widowControl/>
        <w:kinsoku w:val="0"/>
        <w:wordWrap/>
        <w:overflowPunct/>
        <w:topLinePunct w:val="0"/>
        <w:autoSpaceDE/>
        <w:autoSpaceDN/>
        <w:bidi w:val="0"/>
        <w:adjustRightInd/>
        <w:snapToGrid/>
        <w:spacing w:line="580" w:lineRule="exact"/>
        <w:ind w:left="0" w:leftChars="0" w:right="0"/>
        <w:jc w:val="both"/>
        <w:textAlignment w:val="baseline"/>
        <w:rPr>
          <w:rFonts w:hint="eastAsia" w:ascii="仿宋_GB2312" w:hAnsi="仿宋_GB2312" w:eastAsia="仿宋_GB2312" w:cs="仿宋_GB2312"/>
          <w:b w:val="0"/>
          <w:snapToGrid/>
          <w:color w:val="000000" w:themeColor="text1"/>
          <w:spacing w:val="0"/>
          <w:sz w:val="32"/>
          <w:lang w:val="en-US" w:eastAsia="zh-CN"/>
          <w14:textFill>
            <w14:solidFill>
              <w14:schemeClr w14:val="tx1"/>
            </w14:solidFill>
          </w14:textFill>
        </w:rPr>
      </w:pPr>
      <w:r>
        <w:rPr>
          <w:rFonts w:hint="eastAsia" w:ascii="仿宋_GB2312" w:hAnsi="仿宋_GB2312" w:eastAsia="仿宋_GB2312" w:cs="仿宋_GB2312"/>
          <w:b w:val="0"/>
          <w:snapToGrid/>
          <w:color w:val="000000" w:themeColor="text1"/>
          <w:spacing w:val="0"/>
          <w:sz w:val="32"/>
          <w:lang w:val="en-US" w:eastAsia="zh-CN"/>
          <w14:textFill>
            <w14:solidFill>
              <w14:schemeClr w14:val="tx1"/>
            </w14:solidFill>
          </w14:textFill>
        </w:rPr>
        <w:t xml:space="preserve">                                揭阳市揭东区</w:t>
      </w:r>
      <w:r>
        <w:rPr>
          <w:rFonts w:hint="eastAsia" w:ascii="仿宋_GB2312" w:hAnsi="仿宋_GB2312" w:eastAsia="仿宋_GB2312" w:cs="仿宋_GB2312"/>
          <w:b w:val="0"/>
          <w:snapToGrid/>
          <w:color w:val="000000" w:themeColor="text1"/>
          <w:spacing w:val="0"/>
          <w:sz w:val="32"/>
          <w:lang w:eastAsia="zh-CN"/>
          <w14:textFill>
            <w14:solidFill>
              <w14:schemeClr w14:val="tx1"/>
            </w14:solidFill>
          </w14:textFill>
        </w:rPr>
        <w:t>人民政府</w:t>
      </w:r>
      <w:r>
        <w:rPr>
          <w:rFonts w:hint="eastAsia" w:ascii="仿宋_GB2312" w:hAnsi="仿宋_GB2312" w:eastAsia="仿宋_GB2312" w:cs="仿宋_GB2312"/>
          <w:b w:val="0"/>
          <w:snapToGrid/>
          <w:color w:val="000000" w:themeColor="text1"/>
          <w:spacing w:val="0"/>
          <w:sz w:val="32"/>
          <w:lang w:val="en-US" w:eastAsia="zh-CN"/>
          <w14:textFill>
            <w14:solidFill>
              <w14:schemeClr w14:val="tx1"/>
            </w14:solidFill>
          </w14:textFill>
        </w:rPr>
        <w:t xml:space="preserve">    </w:t>
      </w:r>
    </w:p>
    <w:p w14:paraId="0F67790D">
      <w:pPr>
        <w:keepNext w:val="0"/>
        <w:keepLines w:val="0"/>
        <w:pageBreakBefore w:val="0"/>
        <w:widowControl/>
        <w:kinsoku w:val="0"/>
        <w:wordWrap w:val="0"/>
        <w:overflowPunct/>
        <w:topLinePunct w:val="0"/>
        <w:autoSpaceDE/>
        <w:autoSpaceDN/>
        <w:bidi w:val="0"/>
        <w:adjustRightInd/>
        <w:snapToGrid/>
        <w:spacing w:line="580" w:lineRule="exact"/>
        <w:ind w:left="0" w:leftChars="0" w:right="0"/>
        <w:jc w:val="both"/>
        <w:textAlignment w:val="baseline"/>
        <w:rPr>
          <w:rFonts w:hint="eastAsia" w:ascii="NEU-BZ-S92" w:hAnsi="NEU-BZ-S92" w:eastAsia="方正仿宋简体" w:cs="仿宋"/>
          <w:b w:val="0"/>
          <w:spacing w:val="-16"/>
          <w:sz w:val="32"/>
          <w:szCs w:val="26"/>
          <w:lang w:val="en-US" w:eastAsia="zh-CN"/>
        </w:rPr>
        <w:sectPr>
          <w:footerReference r:id="rId5" w:type="default"/>
          <w:pgSz w:w="11906" w:h="16839"/>
          <w:pgMar w:top="1440" w:right="1417" w:bottom="1440" w:left="1531" w:header="0" w:footer="1375" w:gutter="0"/>
          <w:pgBorders>
            <w:top w:val="none" w:sz="0" w:space="0"/>
            <w:left w:val="none" w:sz="0" w:space="0"/>
            <w:bottom w:val="none" w:sz="0" w:space="0"/>
            <w:right w:val="none" w:sz="0" w:space="0"/>
          </w:pgBorders>
          <w:pgNumType w:fmt="decimal" w:start="1"/>
          <w:cols w:space="720" w:num="1"/>
        </w:sectPr>
      </w:pPr>
      <w:r>
        <w:rPr>
          <w:rFonts w:hint="eastAsia" w:ascii="仿宋_GB2312" w:hAnsi="仿宋_GB2312" w:eastAsia="仿宋_GB2312" w:cs="仿宋_GB2312"/>
          <w:b w:val="0"/>
          <w:snapToGrid/>
          <w:color w:val="000000" w:themeColor="text1"/>
          <w:spacing w:val="0"/>
          <w:sz w:val="32"/>
          <w:szCs w:val="26"/>
          <w:lang w:val="en-US" w:eastAsia="zh-CN"/>
          <w14:textFill>
            <w14:solidFill>
              <w14:schemeClr w14:val="tx1"/>
            </w14:solidFill>
          </w14:textFill>
        </w:rPr>
        <w:t xml:space="preserve">                                  </w:t>
      </w:r>
      <w:r>
        <w:rPr>
          <w:rFonts w:hint="eastAsia" w:ascii="仿宋_GB2312" w:hAnsi="仿宋_GB2312" w:eastAsia="仿宋_GB2312" w:cs="仿宋_GB2312"/>
          <w:b w:val="0"/>
          <w:snapToGrid/>
          <w:color w:val="000000" w:themeColor="text1"/>
          <w:spacing w:val="0"/>
          <w:sz w:val="32"/>
          <w:szCs w:val="26"/>
          <w14:textFill>
            <w14:solidFill>
              <w14:schemeClr w14:val="tx1"/>
            </w14:solidFill>
          </w14:textFill>
        </w:rPr>
        <w:t>202</w:t>
      </w:r>
      <w:r>
        <w:rPr>
          <w:rFonts w:hint="eastAsia" w:ascii="仿宋_GB2312" w:hAnsi="仿宋_GB2312" w:eastAsia="仿宋_GB2312" w:cs="仿宋_GB2312"/>
          <w:b w:val="0"/>
          <w:snapToGrid/>
          <w:color w:val="000000" w:themeColor="text1"/>
          <w:spacing w:val="0"/>
          <w:sz w:val="32"/>
          <w:szCs w:val="26"/>
          <w:lang w:val="en-US" w:eastAsia="zh-CN"/>
          <w14:textFill>
            <w14:solidFill>
              <w14:schemeClr w14:val="tx1"/>
            </w14:solidFill>
          </w14:textFill>
        </w:rPr>
        <w:t>6</w:t>
      </w:r>
      <w:r>
        <w:rPr>
          <w:rFonts w:hint="eastAsia" w:ascii="仿宋_GB2312" w:hAnsi="仿宋_GB2312" w:eastAsia="仿宋_GB2312" w:cs="仿宋_GB2312"/>
          <w:b w:val="0"/>
          <w:snapToGrid/>
          <w:color w:val="000000" w:themeColor="text1"/>
          <w:spacing w:val="0"/>
          <w:sz w:val="32"/>
          <w:szCs w:val="26"/>
          <w14:textFill>
            <w14:solidFill>
              <w14:schemeClr w14:val="tx1"/>
            </w14:solidFill>
          </w14:textFill>
        </w:rPr>
        <w:t>年</w:t>
      </w:r>
      <w:r>
        <w:rPr>
          <w:rFonts w:hint="eastAsia" w:ascii="仿宋_GB2312" w:hAnsi="仿宋_GB2312" w:eastAsia="仿宋_GB2312" w:cs="仿宋_GB2312"/>
          <w:b w:val="0"/>
          <w:snapToGrid/>
          <w:color w:val="000000" w:themeColor="text1"/>
          <w:spacing w:val="0"/>
          <w:sz w:val="32"/>
          <w:szCs w:val="26"/>
          <w:lang w:val="en-US" w:eastAsia="zh-CN"/>
          <w14:textFill>
            <w14:solidFill>
              <w14:schemeClr w14:val="tx1"/>
            </w14:solidFill>
          </w14:textFill>
        </w:rPr>
        <w:t xml:space="preserve"> 3</w:t>
      </w:r>
      <w:r>
        <w:rPr>
          <w:rFonts w:hint="eastAsia" w:ascii="仿宋_GB2312" w:hAnsi="仿宋_GB2312" w:eastAsia="仿宋_GB2312" w:cs="仿宋_GB2312"/>
          <w:b w:val="0"/>
          <w:snapToGrid/>
          <w:color w:val="000000" w:themeColor="text1"/>
          <w:spacing w:val="0"/>
          <w:sz w:val="32"/>
          <w:szCs w:val="26"/>
          <w14:textFill>
            <w14:solidFill>
              <w14:schemeClr w14:val="tx1"/>
            </w14:solidFill>
          </w14:textFill>
        </w:rPr>
        <w:t>月</w:t>
      </w:r>
      <w:r>
        <w:rPr>
          <w:rFonts w:hint="eastAsia" w:ascii="仿宋_GB2312" w:hAnsi="仿宋_GB2312" w:eastAsia="仿宋_GB2312" w:cs="仿宋_GB2312"/>
          <w:b w:val="0"/>
          <w:snapToGrid/>
          <w:color w:val="000000" w:themeColor="text1"/>
          <w:spacing w:val="0"/>
          <w:sz w:val="32"/>
          <w:szCs w:val="26"/>
          <w:lang w:val="en-US" w:eastAsia="zh-CN"/>
          <w14:textFill>
            <w14:solidFill>
              <w14:schemeClr w14:val="tx1"/>
            </w14:solidFill>
          </w14:textFill>
        </w:rPr>
        <w:t xml:space="preserve">  日 </w:t>
      </w:r>
      <w:r>
        <w:rPr>
          <w:rFonts w:hint="eastAsia" w:ascii="NEU-BZ-S92" w:hAnsi="NEU-BZ-S92" w:eastAsia="方正仿宋简体" w:cs="仿宋"/>
          <w:b w:val="0"/>
          <w:snapToGrid/>
          <w:spacing w:val="0"/>
          <w:sz w:val="32"/>
          <w:szCs w:val="26"/>
          <w:lang w:val="en-US" w:eastAsia="zh-CN"/>
        </w:rPr>
        <w:t xml:space="preserve"> </w:t>
      </w:r>
      <w:r>
        <w:rPr>
          <w:rFonts w:hint="eastAsia" w:ascii="NEU-BZ-S92" w:hAnsi="NEU-BZ-S92" w:eastAsia="方正仿宋简体" w:cs="仿宋"/>
          <w:b w:val="0"/>
          <w:spacing w:val="-16"/>
          <w:sz w:val="32"/>
          <w:szCs w:val="26"/>
          <w:lang w:val="en-US" w:eastAsia="zh-CN"/>
        </w:rPr>
        <w:t xml:space="preserve"> </w:t>
      </w:r>
    </w:p>
    <w:p w14:paraId="765B2577">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eastAsia" w:ascii="黑体" w:hAnsi="黑体" w:eastAsia="黑体" w:cs="黑体"/>
          <w:spacing w:val="0"/>
          <w:w w:val="100"/>
          <w:kern w:val="21"/>
          <w:sz w:val="32"/>
          <w:lang w:val="en-US" w:eastAsia="zh-CN"/>
        </w:rPr>
      </w:pPr>
      <w:r>
        <w:rPr>
          <w:rFonts w:hint="eastAsia" w:ascii="黑体" w:hAnsi="黑体" w:eastAsia="黑体" w:cs="黑体"/>
          <w:spacing w:val="0"/>
          <w:w w:val="100"/>
          <w:kern w:val="21"/>
          <w:sz w:val="32"/>
          <w:lang w:val="en-US" w:eastAsia="zh-CN"/>
        </w:rPr>
        <w:t>附件1-1</w:t>
      </w:r>
    </w:p>
    <w:p w14:paraId="4EA19307">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NEU-BZ-S92" w:hAnsi="NEU-BZ-S92" w:eastAsia="方正仿宋简体" w:cs="仿宋"/>
          <w:b w:val="0"/>
          <w:spacing w:val="-16"/>
          <w:sz w:val="32"/>
          <w:szCs w:val="26"/>
          <w:lang w:val="en-US" w:eastAsia="zh-CN"/>
        </w:rPr>
      </w:pPr>
      <w:bookmarkStart w:id="0" w:name="_GoBack"/>
      <w:bookmarkEnd w:id="0"/>
    </w:p>
    <w:p w14:paraId="2A21BEBB">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r>
        <w:rPr>
          <w:rFonts w:hint="eastAsia" w:ascii="微软雅黑" w:hAnsi="微软雅黑" w:eastAsia="微软雅黑" w:cs="微软雅黑"/>
          <w:b w:val="0"/>
          <w:snapToGrid/>
          <w:color w:val="000000" w:themeColor="text1"/>
          <w:spacing w:val="0"/>
          <w:sz w:val="44"/>
          <w:szCs w:val="44"/>
          <w:lang w:val="en-US" w:eastAsia="zh-CN"/>
          <w14:textFill>
            <w14:solidFill>
              <w14:schemeClr w14:val="tx1"/>
            </w14:solidFill>
          </w14:textFill>
        </w:rPr>
        <w:t>揭东区</w:t>
      </w:r>
      <w:r>
        <w:rPr>
          <w:rFonts w:hint="eastAsia" w:ascii="微软雅黑" w:hAnsi="微软雅黑" w:eastAsia="微软雅黑" w:cs="微软雅黑"/>
          <w:b w:val="0"/>
          <w:snapToGrid/>
          <w:color w:val="000000" w:themeColor="text1"/>
          <w:spacing w:val="0"/>
          <w:sz w:val="44"/>
          <w:szCs w:val="44"/>
          <w:lang w:eastAsia="zh-CN"/>
          <w14:textFill>
            <w14:solidFill>
              <w14:schemeClr w14:val="tx1"/>
            </w14:solidFill>
          </w14:textFill>
        </w:rPr>
        <w:t>镇（街道）</w:t>
      </w:r>
      <w:r>
        <w:rPr>
          <w:rFonts w:hint="eastAsia" w:ascii="微软雅黑" w:hAnsi="微软雅黑" w:eastAsia="微软雅黑" w:cs="微软雅黑"/>
          <w:b w:val="0"/>
          <w:snapToGrid/>
          <w:color w:val="000000" w:themeColor="text1"/>
          <w:spacing w:val="0"/>
          <w:sz w:val="44"/>
          <w:szCs w:val="44"/>
          <w14:textFill>
            <w14:solidFill>
              <w14:schemeClr w14:val="tx1"/>
            </w14:solidFill>
          </w14:textFill>
        </w:rPr>
        <w:t>承接县级行政处罚事项目录</w:t>
      </w:r>
    </w:p>
    <w:p w14:paraId="50FB3F7B">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p>
    <w:tbl>
      <w:tblPr>
        <w:tblStyle w:val="5"/>
        <w:tblW w:w="8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871"/>
        <w:gridCol w:w="3830"/>
        <w:gridCol w:w="1957"/>
      </w:tblGrid>
      <w:tr w14:paraId="58C4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blHeader/>
        </w:trPr>
        <w:tc>
          <w:tcPr>
            <w:tcW w:w="8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D26E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Style w:val="11"/>
                <w:rFonts w:hint="default" w:ascii="Times New Roman" w:hAnsi="Times New Roman" w:eastAsia="黑体" w:cs="Times New Roman"/>
                <w:b w:val="0"/>
                <w:bCs w:val="0"/>
                <w:i w:val="0"/>
                <w:iCs w:val="0"/>
                <w:color w:val="000000"/>
                <w:sz w:val="24"/>
                <w:szCs w:val="24"/>
                <w:lang w:val="en-US" w:eastAsia="zh-CN"/>
              </w:rPr>
            </w:pPr>
            <w:r>
              <w:rPr>
                <w:rStyle w:val="11"/>
                <w:rFonts w:hint="default" w:ascii="Times New Roman" w:hAnsi="Times New Roman" w:eastAsia="黑体" w:cs="Times New Roman"/>
                <w:b w:val="0"/>
                <w:bCs w:val="0"/>
                <w:i w:val="0"/>
                <w:iCs w:val="0"/>
                <w:color w:val="000000"/>
                <w:sz w:val="24"/>
                <w:szCs w:val="24"/>
                <w:lang w:val="en-US" w:eastAsia="zh-CN"/>
              </w:rPr>
              <w:t>序号</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A65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Style w:val="11"/>
                <w:rFonts w:hint="default" w:ascii="Times New Roman" w:hAnsi="Times New Roman" w:eastAsia="黑体" w:cs="Times New Roman"/>
                <w:b w:val="0"/>
                <w:bCs w:val="0"/>
                <w:i w:val="0"/>
                <w:iCs w:val="0"/>
                <w:color w:val="000000"/>
                <w:sz w:val="24"/>
                <w:szCs w:val="24"/>
                <w:lang w:val="en-US" w:eastAsia="zh-CN"/>
              </w:rPr>
            </w:pPr>
            <w:r>
              <w:rPr>
                <w:rStyle w:val="11"/>
                <w:rFonts w:hint="default" w:ascii="Times New Roman" w:hAnsi="Times New Roman" w:eastAsia="黑体" w:cs="Times New Roman"/>
                <w:b w:val="0"/>
                <w:bCs w:val="0"/>
                <w:i w:val="0"/>
                <w:iCs w:val="0"/>
                <w:color w:val="000000"/>
                <w:sz w:val="24"/>
                <w:szCs w:val="24"/>
                <w:lang w:val="en-US" w:eastAsia="zh-CN"/>
              </w:rPr>
              <w:t>基本编码</w:t>
            </w:r>
          </w:p>
        </w:tc>
        <w:tc>
          <w:tcPr>
            <w:tcW w:w="38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CF3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Style w:val="11"/>
                <w:rFonts w:hint="default" w:ascii="Times New Roman" w:hAnsi="Times New Roman" w:eastAsia="黑体" w:cs="Times New Roman"/>
                <w:b w:val="0"/>
                <w:bCs w:val="0"/>
                <w:sz w:val="24"/>
                <w:szCs w:val="24"/>
                <w:lang w:val="en-US" w:eastAsia="zh-CN"/>
              </w:rPr>
              <w:t>事项名称</w:t>
            </w:r>
          </w:p>
        </w:tc>
        <w:tc>
          <w:tcPr>
            <w:tcW w:w="1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09D4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相关县级行政执法业务主管部门</w:t>
            </w:r>
          </w:p>
        </w:tc>
      </w:tr>
      <w:tr w14:paraId="78B6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16E9B">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b w:val="0"/>
                <w:bCs w:val="0"/>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A5C80">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Times New Roman" w:hAnsi="Times New Roman" w:eastAsia="仿宋_GB2312" w:cs="Times New Roman"/>
                <w:b/>
                <w:bCs/>
                <w:i w:val="0"/>
                <w:iCs w:val="0"/>
                <w:color w:val="000000"/>
                <w:sz w:val="24"/>
                <w:szCs w:val="24"/>
                <w:u w:val="none"/>
              </w:rPr>
            </w:pPr>
          </w:p>
        </w:tc>
        <w:tc>
          <w:tcPr>
            <w:tcW w:w="3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434B1">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Times New Roman" w:hAnsi="Times New Roman" w:eastAsia="仿宋_GB2312" w:cs="Times New Roman"/>
                <w:b/>
                <w:bCs/>
                <w:i w:val="0"/>
                <w:iCs w:val="0"/>
                <w:color w:val="000000"/>
                <w:sz w:val="24"/>
                <w:szCs w:val="24"/>
                <w:u w:val="none"/>
              </w:rPr>
            </w:pPr>
          </w:p>
        </w:tc>
        <w:tc>
          <w:tcPr>
            <w:tcW w:w="1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3D3F5">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Times New Roman" w:hAnsi="Times New Roman" w:eastAsia="仿宋_GB2312" w:cs="Times New Roman"/>
                <w:b/>
                <w:bCs/>
                <w:i w:val="0"/>
                <w:iCs w:val="0"/>
                <w:color w:val="000000"/>
                <w:sz w:val="24"/>
                <w:szCs w:val="24"/>
                <w:u w:val="none"/>
              </w:rPr>
            </w:pPr>
          </w:p>
        </w:tc>
      </w:tr>
      <w:tr w14:paraId="3A7F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4083C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693E9CF1">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440214240000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4821105D">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对建设单位未按规定设置建设工程规划许可公告牌的行政处罚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66A2B2F8">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51EA4E9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460D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4CB027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6ADFFBEC">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440214244000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15B48B7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对在城市绿地范围内进行拦河截溪、取土采石、设置垃圾堆场、排放污水以及其他对城市生态环境造成破坏的活动的行政处罚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24690526">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12FC0C33">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0573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7"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573259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3</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451DA45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440214371000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30C4BAB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对属于违法建筑而出租房屋；不符合安全、防灾等工程建设强制性标准而出租房屋；违反规定改变房屋使用性质而出租房屋；违反法律、法规规定禁止出租的其他情形而出租房屋的行政处罚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6BAF745B">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731F4394">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5D88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32BBD8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4</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F6D394A">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440214359000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5E885E93">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已交付使用的物业建筑面积达到物业管理区域建筑面积百分之五十的，建设单位未向物业所在地街道办事处、乡镇人民政府报告并在物业管理区域公告或者建设单位未向业主大会筹备组提供相关文件资料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7D069E7">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5EAF953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59DF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6"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EED7B0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5</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DB4029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440214360000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4FFBEC3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对业主大会决定选聘新的物业服务企业后，原物业服务企业不按规定退出物业管理区域；物业服务企业损毁或破坏属于全体业主的档案资料、财物和共用设施设备的行政处罚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70F4E12A">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04AECDCC">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64BC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1F9697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6</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41B85B9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440214292000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994E939">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对擅自倾倒、堆放、丢弃、遗撒污泥的行政处罚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7B2ACEA9">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6184558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1E5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578118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rPr>
              <w:t>7</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7E5EFBE">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2"/>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440214295000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55CEA618">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2"/>
                <w:sz w:val="24"/>
                <w:szCs w:val="24"/>
                <w:u w:val="none"/>
                <w:lang w:val="en-US" w:eastAsia="zh-CN"/>
              </w:rPr>
            </w:pPr>
            <w:r>
              <w:rPr>
                <w:rStyle w:val="12"/>
                <w:rFonts w:hint="default" w:ascii="Times New Roman" w:hAnsi="Times New Roman" w:eastAsia="仿宋_GB2312" w:cs="Times New Roman"/>
                <w:sz w:val="24"/>
                <w:szCs w:val="24"/>
                <w:lang w:val="en-US" w:eastAsia="zh-CN"/>
              </w:rPr>
              <w:t>对从事危及城镇排水与污水处理设施安全的活动的行政处罚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7708C31F">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3B2B71F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kern w:val="2"/>
                <w:sz w:val="24"/>
                <w:szCs w:val="24"/>
                <w:u w:val="none"/>
                <w:lang w:val="en-US" w:eastAsia="zh-CN"/>
              </w:rPr>
            </w:pPr>
            <w:r>
              <w:rPr>
                <w:rFonts w:hint="eastAsia" w:ascii="仿宋_GB2312" w:hAnsi="仿宋_GB2312" w:eastAsia="仿宋_GB2312" w:cs="仿宋_GB2312"/>
                <w:b w:val="0"/>
                <w:bCs w:val="0"/>
                <w:sz w:val="21"/>
                <w:szCs w:val="21"/>
              </w:rPr>
              <w:t>管理和综合执法局</w:t>
            </w:r>
          </w:p>
        </w:tc>
      </w:tr>
      <w:tr w14:paraId="7CBC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989651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8</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2048AA43">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440214297000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11DC78E4">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对擅自拆除、改动城镇排水与污水处理设施的行政处罚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90EC997">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413572FD">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4AFE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AF8901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9</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BB43E2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440214023000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3C2F9B6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从事新区开发、旧区改建和住宅小区开发建设的单位，以及机场、码头、车站、公园、商店等公共设施、场所的经营管理单位，未按城市生活垃圾治理规划和环境卫生设施标准配套建设城市生活垃圾收集设施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0CDF9F9">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12283A5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7561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3F0E6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10</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423D81B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440214025000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0D9C099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对未经批准擅自关闭、闲置或拆除城市生活垃圾处置设施、场所的行政处罚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0C68868">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7F0A1B91">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7A22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7"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6FA39E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11</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7CBE322E">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440214029000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13F74629">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从事城市生活垃圾经营性清扫、收集、运输的企业未按环境卫生作业标准和作业规范，在规定的时间内及时清扫、收运城市生活垃圾；未将收集的城市生活垃圾运到直辖市、市、县人民政府建设（环境卫生）主管部门认可的处理场所；清扫、收运城市生活垃圾后，未对生活垃圾收集设施及时保洁、复位，未清理作业场地，未保持生活垃圾收集设施和周边环境的干净整洁；用于收集、运输城市生活垃圾的车辆、船舶未做到密闭、完好和整洁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5001AF3C">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780C6BBC">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1276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BD286C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12</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4D7A4DE3">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440214030000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069A23ED">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对从事城市生活垃圾经营性清扫、收集、运输的企业，未经批准擅自停业、歇业的行政处罚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4E9C57C">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357C2EBD">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61BB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0B8AE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13</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6DDE60DC">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440214310000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4D3B6399">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对未按照分类规定投放生活垃圾，或者未按规定投放体积较大的废弃物品行为的行政处罚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0190A453">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67C72530">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5CAA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21FBCA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rPr>
              <w:t>14</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028C7B0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440214309000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72AB0BB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对生活垃圾分类管理责任人未建立生活垃圾分类日常管理制度；未开展生活垃圾分类知识宣传，未指导、监督、检查生活垃圾分类行为；未根据生活垃圾产生量，按照就近便利原则和分类标准、分类标志设置生活垃圾分类收集点和收集容器，并保持生活垃圾分类收集容器正常使用和周边清洁；未合理确定生活垃圾的投放时间、地点，并组织责任区域内的分类收集工作；未劝阻不按照分类规定投放生活垃圾，或者混合收集、运输已分类的生活垃圾的行为；未将生活垃圾交由符合规定的单位收集、运输、处理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A3143A0">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0EB849B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管理和综合执法局</w:t>
            </w:r>
          </w:p>
        </w:tc>
      </w:tr>
      <w:tr w14:paraId="5E9B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F54C1B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15</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8CD5D7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440214018000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127DF03B">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对未经核准擅自处置建筑垃圾；处置超出核准范围的建筑垃圾的行政处罚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0EBFB89F">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52E6C508">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2391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0070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16</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A7D9B08">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440214009000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3E3AFDB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对饲养家畜家禽影响市容和环境卫生的行政处罚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2D4B53F5">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0F4D46A9">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管理和综合执法局</w:t>
            </w:r>
          </w:p>
        </w:tc>
      </w:tr>
      <w:tr w14:paraId="658A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4A041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rPr>
              <w:t>17</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E5A2C3D">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440214227000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09FF980">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Style w:val="12"/>
                <w:rFonts w:hint="default" w:ascii="Times New Roman" w:hAnsi="Times New Roman" w:eastAsia="仿宋_GB2312" w:cs="Times New Roman"/>
                <w:sz w:val="24"/>
                <w:szCs w:val="24"/>
                <w:lang w:val="en-US" w:eastAsia="zh-CN"/>
              </w:rPr>
            </w:pPr>
            <w:r>
              <w:rPr>
                <w:rStyle w:val="12"/>
                <w:rFonts w:hint="default" w:ascii="Times New Roman" w:hAnsi="Times New Roman" w:eastAsia="仿宋_GB2312" w:cs="Times New Roman"/>
                <w:sz w:val="24"/>
                <w:szCs w:val="24"/>
                <w:lang w:val="en-US" w:eastAsia="zh-CN"/>
              </w:rPr>
              <w:t>对进行改变园林绿地、河湖水系等自然状态的活动，在核心保护范围内进行影视摄制、举办大型群众性活动，其他影响传统格局、历史风貌或者历史建筑的活动，致使对传统格局、历史风貌或者历史建筑构成破坏性影响；未经城乡规划主管部门会同同级文物主管部门批准，拆除历史建筑以外的建筑物、构筑物或其他设施；未经城乡规划主管部门会同同级文物主管部门批准，对历史建筑进行外部修缮装饰、添加设施以及改变历史建筑的结构或使用性质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251AB34">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1F5FA145">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管理和综合执法局</w:t>
            </w:r>
          </w:p>
        </w:tc>
      </w:tr>
      <w:tr w14:paraId="3D72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3E3BBE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rPr>
              <w:t>18</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7BC72BCE">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440214293000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7C69A1A">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Style w:val="12"/>
                <w:rFonts w:hint="default" w:ascii="Times New Roman" w:hAnsi="Times New Roman" w:eastAsia="仿宋_GB2312" w:cs="Times New Roman"/>
                <w:sz w:val="24"/>
                <w:szCs w:val="24"/>
                <w:lang w:val="en-US" w:eastAsia="zh-CN"/>
              </w:rPr>
            </w:pPr>
            <w:r>
              <w:rPr>
                <w:rStyle w:val="12"/>
                <w:rFonts w:hint="default" w:ascii="Times New Roman" w:hAnsi="Times New Roman" w:eastAsia="仿宋_GB2312" w:cs="Times New Roman"/>
                <w:sz w:val="24"/>
                <w:szCs w:val="24"/>
                <w:lang w:val="en-US" w:eastAsia="zh-CN"/>
              </w:rPr>
              <w:t>对不缴纳污水处理费的行政处罚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208225F4">
            <w:pPr>
              <w:pStyle w:val="2"/>
              <w:spacing w:line="5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揭阳市揭东区城市</w:t>
            </w:r>
          </w:p>
          <w:p w14:paraId="57A017D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管理和综合执法局</w:t>
            </w:r>
          </w:p>
        </w:tc>
      </w:tr>
      <w:tr w14:paraId="53FF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4ECA47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1</w:t>
            </w:r>
            <w:r>
              <w:rPr>
                <w:rFonts w:hint="eastAsia" w:ascii="Times New Roman" w:hAnsi="Times New Roman" w:eastAsia="仿宋_GB2312" w:cs="Times New Roman"/>
                <w:b w:val="0"/>
                <w:bCs w:val="0"/>
                <w:i w:val="0"/>
                <w:iCs w:val="0"/>
                <w:color w:val="000000"/>
                <w:kern w:val="0"/>
                <w:sz w:val="24"/>
                <w:szCs w:val="24"/>
                <w:u w:val="none"/>
                <w:lang w:val="en-US" w:eastAsia="zh-CN"/>
              </w:rPr>
              <w:t>9</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3952ECE5">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44021700W00Y</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31A251B9">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对农村村民未经批准或者采取欺骗手段骗取批准，非法占用土地建住宅的行为的行政处罚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4D864A65">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5EEA89B0">
            <w:pPr>
              <w:pStyle w:val="2"/>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0A52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CA9AE6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rPr>
              <w:t>20</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731FDEE0">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440217034000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59E192B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对农药生产企业不执行原材料进货、农药出厂销售记录制度，或者不履行农药废弃物回收义务的行为的行政处罚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0E1D89FD">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651B8C1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5353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7A9EEB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rPr>
              <w:t>21</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5A18C036">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440217041000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1E384288">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对农产品生产企业、食品和食用农产品仓储企业、专业化病虫害防治服务组织和从事农产品生产的农民专业合作社等不执行农药使用记录制度的行为的行政处罚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17B70B4B">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3FF63F0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77EF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B504BB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r>
              <w:rPr>
                <w:rFonts w:hint="eastAsia" w:ascii="Times New Roman" w:hAnsi="Times New Roman" w:eastAsia="仿宋_GB2312" w:cs="Times New Roman"/>
                <w:b w:val="0"/>
                <w:bCs w:val="0"/>
                <w:i w:val="0"/>
                <w:iCs w:val="0"/>
                <w:color w:val="000000"/>
                <w:kern w:val="0"/>
                <w:sz w:val="24"/>
                <w:szCs w:val="24"/>
                <w:u w:val="none"/>
                <w:lang w:val="en-US" w:eastAsia="zh-CN"/>
              </w:rPr>
              <w:t>2</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21439260">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440217038000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86A4A41">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对农药经营者存在不执行农药采购台账、销售台账制度；在卫生用农药以外的农药经营场所内经营食品、食用农产品、饲料等；未将卫生用农药与其他商品分柜销售；不履行农药废弃物回收义务的行为的行政处罚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5136A35A">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29A3B9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39F1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4FCEA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r>
              <w:rPr>
                <w:rFonts w:hint="eastAsia" w:ascii="Times New Roman" w:hAnsi="Times New Roman" w:eastAsia="仿宋_GB2312" w:cs="Times New Roman"/>
                <w:b w:val="0"/>
                <w:bCs w:val="0"/>
                <w:i w:val="0"/>
                <w:iCs w:val="0"/>
                <w:color w:val="000000"/>
                <w:kern w:val="0"/>
                <w:sz w:val="24"/>
                <w:szCs w:val="24"/>
                <w:u w:val="none"/>
                <w:lang w:val="en-US" w:eastAsia="zh-CN"/>
              </w:rPr>
              <w:t>3</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342ED978">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440217115000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578C0B1">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rPr>
              <w:t>对屠宰、经营、运输的动物未附有检疫证明，经营和运输的动物产品未附有检疫证明、检疫标志的行为的行政处罚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3C1DC043">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4CA8B19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5364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390B9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r>
              <w:rPr>
                <w:rFonts w:hint="eastAsia" w:ascii="Times New Roman" w:hAnsi="Times New Roman" w:eastAsia="仿宋_GB2312" w:cs="Times New Roman"/>
                <w:b w:val="0"/>
                <w:bCs w:val="0"/>
                <w:i w:val="0"/>
                <w:iCs w:val="0"/>
                <w:color w:val="000000"/>
                <w:kern w:val="0"/>
                <w:sz w:val="24"/>
                <w:szCs w:val="24"/>
                <w:u w:val="none"/>
                <w:lang w:val="en-US" w:eastAsia="zh-CN"/>
              </w:rPr>
              <w:t>4</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DB0CFC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440217152000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22C00A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对未经实施查封的监督管理部门批准，擅自启封、转移、使用、改动、销毁、销售被查封物品的行为的行政处罚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64B34133">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33B8524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4E67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B935B9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r>
              <w:rPr>
                <w:rFonts w:hint="eastAsia" w:ascii="Times New Roman" w:hAnsi="Times New Roman" w:eastAsia="仿宋_GB2312" w:cs="Times New Roman"/>
                <w:b w:val="0"/>
                <w:bCs w:val="0"/>
                <w:i w:val="0"/>
                <w:iCs w:val="0"/>
                <w:color w:val="000000"/>
                <w:kern w:val="0"/>
                <w:sz w:val="24"/>
                <w:szCs w:val="24"/>
                <w:u w:val="none"/>
                <w:lang w:val="en-US" w:eastAsia="zh-CN"/>
              </w:rPr>
              <w:t>5</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20CB3D1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440217042000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69562604">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对伪造、变造、转让、出租、出借农药生产许可证、农药经营许可证等许可证明文件的行为的行政处罚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0CC48C01">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2040E3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r w14:paraId="1733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17397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rPr>
              <w:t>2</w:t>
            </w:r>
            <w:r>
              <w:rPr>
                <w:rFonts w:hint="eastAsia" w:ascii="Times New Roman" w:hAnsi="Times New Roman" w:eastAsia="仿宋_GB2312" w:cs="Times New Roman"/>
                <w:b w:val="0"/>
                <w:bCs w:val="0"/>
                <w:i w:val="0"/>
                <w:iCs w:val="0"/>
                <w:color w:val="000000"/>
                <w:kern w:val="0"/>
                <w:sz w:val="24"/>
                <w:szCs w:val="24"/>
                <w:u w:val="none"/>
                <w:lang w:val="en-US" w:eastAsia="zh-CN"/>
              </w:rPr>
              <w:t>6</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14:paraId="1B112E0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440217037000</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428CD4F1">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rPr>
              <w:t>对农药经营者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行政处罚</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379B8513">
            <w:pPr>
              <w:pStyle w:val="2"/>
              <w:spacing w:line="56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揭阳市揭东区</w:t>
            </w:r>
          </w:p>
          <w:p w14:paraId="30E993F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sz w:val="21"/>
                <w:szCs w:val="21"/>
              </w:rPr>
              <w:t>农业农村局</w:t>
            </w:r>
          </w:p>
        </w:tc>
      </w:tr>
    </w:tbl>
    <w:p w14:paraId="6DA6489A">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p>
    <w:p w14:paraId="2A21BDC7">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p>
    <w:p w14:paraId="6B3D4D08">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p>
    <w:p w14:paraId="0571E361">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14:textFill>
            <w14:solidFill>
              <w14:schemeClr w14:val="tx1"/>
            </w14:solidFill>
          </w14:textFill>
        </w:rPr>
      </w:pPr>
    </w:p>
    <w:p w14:paraId="2BA5DE25">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微软雅黑" w:hAnsi="微软雅黑" w:eastAsia="微软雅黑" w:cs="微软雅黑"/>
          <w:b w:val="0"/>
          <w:snapToGrid/>
          <w:color w:val="000000" w:themeColor="text1"/>
          <w:spacing w:val="0"/>
          <w:sz w:val="44"/>
          <w:szCs w:val="44"/>
          <w:lang w:val="en-US" w:eastAsia="zh-CN"/>
          <w14:textFill>
            <w14:solidFill>
              <w14:schemeClr w14:val="tx1"/>
            </w14:solidFill>
          </w14:textFill>
        </w:rPr>
      </w:pPr>
    </w:p>
    <w:p w14:paraId="038D5635">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default" w:ascii="NEU-BZ-S92" w:hAnsi="NEU-BZ-S92" w:eastAsia="方正仿宋简体" w:cs="仿宋"/>
          <w:b w:val="0"/>
          <w:spacing w:val="-16"/>
          <w:sz w:val="32"/>
          <w:szCs w:val="26"/>
          <w:lang w:val="en-US" w:eastAsia="zh-CN"/>
        </w:rPr>
      </w:pPr>
    </w:p>
    <w:sectPr>
      <w:pgSz w:w="11906" w:h="16839"/>
      <w:pgMar w:top="1440" w:right="1417" w:bottom="1440" w:left="1531" w:header="0" w:footer="137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49B2BD-74DB-4584-8C81-E08524951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C42FF80-8EDD-4CE7-89EF-604A97EACE19}"/>
  </w:font>
  <w:font w:name="仿宋">
    <w:panose1 w:val="02010609060101010101"/>
    <w:charset w:val="86"/>
    <w:family w:val="auto"/>
    <w:pitch w:val="default"/>
    <w:sig w:usb0="800002BF" w:usb1="38CF7CFA" w:usb2="00000016" w:usb3="00000000" w:csb0="00040001" w:csb1="00000000"/>
    <w:embedRegular r:id="rId3" w:fontKey="{E5A3819E-4490-487B-B5BC-9CED5EA20938}"/>
  </w:font>
  <w:font w:name="NEU-BZ-S92">
    <w:panose1 w:val="02020503000000020003"/>
    <w:charset w:val="86"/>
    <w:family w:val="auto"/>
    <w:pitch w:val="default"/>
    <w:sig w:usb0="E00002FF" w:usb1="5ACFECFE" w:usb2="05000016" w:usb3="00000000" w:csb0="003E0001" w:csb1="00000000"/>
    <w:embedRegular r:id="rId4" w:fontKey="{F0FF7E22-7E68-48A8-BB69-784541F85DA1}"/>
  </w:font>
  <w:font w:name="方正仿宋简体">
    <w:panose1 w:val="02000000000000000000"/>
    <w:charset w:val="86"/>
    <w:family w:val="auto"/>
    <w:pitch w:val="default"/>
    <w:sig w:usb0="A00002BF" w:usb1="184F6CFA" w:usb2="00000012" w:usb3="00000000" w:csb0="00040001" w:csb1="00000000"/>
    <w:embedRegular r:id="rId5" w:fontKey="{3ABCED85-0FF2-4504-A292-AF886F5E4897}"/>
  </w:font>
  <w:font w:name="微软雅黑">
    <w:panose1 w:val="020B0503020204020204"/>
    <w:charset w:val="86"/>
    <w:family w:val="auto"/>
    <w:pitch w:val="default"/>
    <w:sig w:usb0="80000287" w:usb1="2ACF3C50" w:usb2="00000016" w:usb3="00000000" w:csb0="0004001F" w:csb1="00000000"/>
    <w:embedRegular r:id="rId6" w:fontKey="{438FF427-BC69-45F9-91A7-643F3031A32C}"/>
  </w:font>
  <w:font w:name="楷体_GB2312">
    <w:panose1 w:val="02010609030101010101"/>
    <w:charset w:val="86"/>
    <w:family w:val="auto"/>
    <w:pitch w:val="default"/>
    <w:sig w:usb0="00000001" w:usb1="080E0000" w:usb2="00000000" w:usb3="00000000" w:csb0="00040000" w:csb1="00000000"/>
    <w:embedRegular r:id="rId7" w:fontKey="{3B9BCECC-98A2-404D-A424-7B04C3F5C719}"/>
  </w:font>
  <w:font w:name="WPSEMBED1">
    <w:panose1 w:val="02020503000000020003"/>
    <w:charset w:val="86"/>
    <w:family w:val="auto"/>
    <w:pitch w:val="default"/>
    <w:sig w:usb0="E00002FF" w:usb1="5ACFECFE" w:usb2="05000016" w:usb3="00000000" w:csb0="003E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6F81">
    <w:pPr>
      <w:spacing w:line="233" w:lineRule="auto"/>
      <w:ind w:left="769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DE340">
                          <w:pPr>
                            <w:pStyle w:val="3"/>
                            <w:rPr>
                              <w:rFonts w:hint="eastAsia" w:ascii="NEU-BZ-S92" w:hAnsi="NEU-BZ-S92" w:eastAsia="NEU-BZ-S92" w:cs="NEU-BZ-S92"/>
                              <w:sz w:val="28"/>
                              <w:szCs w:val="28"/>
                            </w:rPr>
                          </w:pPr>
                          <w:r>
                            <w:rPr>
                              <w:rFonts w:hint="eastAsia" w:ascii="NEU-BZ-S92" w:hAnsi="NEU-BZ-S92" w:eastAsia="NEU-BZ-S92" w:cs="NEU-BZ-S92"/>
                              <w:sz w:val="28"/>
                              <w:szCs w:val="28"/>
                            </w:rPr>
                            <w:t xml:space="preserve">— </w:t>
                          </w:r>
                          <w:r>
                            <w:rPr>
                              <w:rFonts w:hint="eastAsia" w:ascii="NEU-BZ-S92" w:hAnsi="NEU-BZ-S92" w:eastAsia="NEU-BZ-S92" w:cs="NEU-BZ-S92"/>
                              <w:sz w:val="28"/>
                              <w:szCs w:val="28"/>
                            </w:rPr>
                            <w:fldChar w:fldCharType="begin"/>
                          </w:r>
                          <w:r>
                            <w:rPr>
                              <w:rFonts w:hint="eastAsia" w:ascii="NEU-BZ-S92" w:hAnsi="NEU-BZ-S92" w:eastAsia="NEU-BZ-S92" w:cs="NEU-BZ-S92"/>
                              <w:sz w:val="28"/>
                              <w:szCs w:val="28"/>
                            </w:rPr>
                            <w:instrText xml:space="preserve"> PAGE  \* MERGEFORMAT </w:instrText>
                          </w:r>
                          <w:r>
                            <w:rPr>
                              <w:rFonts w:hint="eastAsia" w:ascii="NEU-BZ-S92" w:hAnsi="NEU-BZ-S92" w:eastAsia="NEU-BZ-S92" w:cs="NEU-BZ-S92"/>
                              <w:sz w:val="28"/>
                              <w:szCs w:val="28"/>
                            </w:rPr>
                            <w:fldChar w:fldCharType="separate"/>
                          </w:r>
                          <w:r>
                            <w:rPr>
                              <w:rFonts w:hint="eastAsia" w:ascii="NEU-BZ-S92" w:hAnsi="NEU-BZ-S92" w:eastAsia="NEU-BZ-S92" w:cs="NEU-BZ-S92"/>
                              <w:sz w:val="28"/>
                              <w:szCs w:val="28"/>
                            </w:rPr>
                            <w:t>3</w:t>
                          </w:r>
                          <w:r>
                            <w:rPr>
                              <w:rFonts w:hint="eastAsia" w:ascii="NEU-BZ-S92" w:hAnsi="NEU-BZ-S92" w:eastAsia="NEU-BZ-S92" w:cs="NEU-BZ-S92"/>
                              <w:sz w:val="28"/>
                              <w:szCs w:val="28"/>
                            </w:rPr>
                            <w:fldChar w:fldCharType="end"/>
                          </w:r>
                          <w:r>
                            <w:rPr>
                              <w:rFonts w:hint="eastAsia" w:ascii="NEU-BZ-S92" w:hAnsi="NEU-BZ-S92" w:eastAsia="NEU-BZ-S92" w:cs="NEU-BZ-S9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EDE340">
                    <w:pPr>
                      <w:pStyle w:val="3"/>
                      <w:rPr>
                        <w:rFonts w:hint="eastAsia" w:ascii="NEU-BZ-S92" w:hAnsi="NEU-BZ-S92" w:eastAsia="NEU-BZ-S92" w:cs="NEU-BZ-S92"/>
                        <w:sz w:val="28"/>
                        <w:szCs w:val="28"/>
                      </w:rPr>
                    </w:pPr>
                    <w:r>
                      <w:rPr>
                        <w:rFonts w:hint="eastAsia" w:ascii="NEU-BZ-S92" w:hAnsi="NEU-BZ-S92" w:eastAsia="NEU-BZ-S92" w:cs="NEU-BZ-S92"/>
                        <w:sz w:val="28"/>
                        <w:szCs w:val="28"/>
                      </w:rPr>
                      <w:t xml:space="preserve">— </w:t>
                    </w:r>
                    <w:r>
                      <w:rPr>
                        <w:rFonts w:hint="eastAsia" w:ascii="NEU-BZ-S92" w:hAnsi="NEU-BZ-S92" w:eastAsia="NEU-BZ-S92" w:cs="NEU-BZ-S92"/>
                        <w:sz w:val="28"/>
                        <w:szCs w:val="28"/>
                      </w:rPr>
                      <w:fldChar w:fldCharType="begin"/>
                    </w:r>
                    <w:r>
                      <w:rPr>
                        <w:rFonts w:hint="eastAsia" w:ascii="NEU-BZ-S92" w:hAnsi="NEU-BZ-S92" w:eastAsia="NEU-BZ-S92" w:cs="NEU-BZ-S92"/>
                        <w:sz w:val="28"/>
                        <w:szCs w:val="28"/>
                      </w:rPr>
                      <w:instrText xml:space="preserve"> PAGE  \* MERGEFORMAT </w:instrText>
                    </w:r>
                    <w:r>
                      <w:rPr>
                        <w:rFonts w:hint="eastAsia" w:ascii="NEU-BZ-S92" w:hAnsi="NEU-BZ-S92" w:eastAsia="NEU-BZ-S92" w:cs="NEU-BZ-S92"/>
                        <w:sz w:val="28"/>
                        <w:szCs w:val="28"/>
                      </w:rPr>
                      <w:fldChar w:fldCharType="separate"/>
                    </w:r>
                    <w:r>
                      <w:rPr>
                        <w:rFonts w:hint="eastAsia" w:ascii="NEU-BZ-S92" w:hAnsi="NEU-BZ-S92" w:eastAsia="NEU-BZ-S92" w:cs="NEU-BZ-S92"/>
                        <w:sz w:val="28"/>
                        <w:szCs w:val="28"/>
                      </w:rPr>
                      <w:t>3</w:t>
                    </w:r>
                    <w:r>
                      <w:rPr>
                        <w:rFonts w:hint="eastAsia" w:ascii="NEU-BZ-S92" w:hAnsi="NEU-BZ-S92" w:eastAsia="NEU-BZ-S92" w:cs="NEU-BZ-S92"/>
                        <w:sz w:val="28"/>
                        <w:szCs w:val="28"/>
                      </w:rPr>
                      <w:fldChar w:fldCharType="end"/>
                    </w:r>
                    <w:r>
                      <w:rPr>
                        <w:rFonts w:hint="eastAsia" w:ascii="NEU-BZ-S92" w:hAnsi="NEU-BZ-S92" w:eastAsia="NEU-BZ-S92" w:cs="NEU-BZ-S92"/>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C967">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5C967">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619D"/>
    <w:multiLevelType w:val="singleLevel"/>
    <w:tmpl w:val="B18961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15DBC"/>
    <w:rsid w:val="039C19CD"/>
    <w:rsid w:val="05A80CEB"/>
    <w:rsid w:val="09C91562"/>
    <w:rsid w:val="0FE22E8B"/>
    <w:rsid w:val="12190936"/>
    <w:rsid w:val="15CF5BA5"/>
    <w:rsid w:val="15EC1F62"/>
    <w:rsid w:val="169A0011"/>
    <w:rsid w:val="1AC25AF4"/>
    <w:rsid w:val="257A4261"/>
    <w:rsid w:val="2677093B"/>
    <w:rsid w:val="28801FE8"/>
    <w:rsid w:val="2B3F3FF2"/>
    <w:rsid w:val="2BE53269"/>
    <w:rsid w:val="2C507B6E"/>
    <w:rsid w:val="2E1103D1"/>
    <w:rsid w:val="30EE5D3F"/>
    <w:rsid w:val="33F3654A"/>
    <w:rsid w:val="341C1B03"/>
    <w:rsid w:val="34237336"/>
    <w:rsid w:val="360D70B6"/>
    <w:rsid w:val="3A94135F"/>
    <w:rsid w:val="3C2F00AC"/>
    <w:rsid w:val="3E596976"/>
    <w:rsid w:val="401E201D"/>
    <w:rsid w:val="4743767B"/>
    <w:rsid w:val="4DDA66D5"/>
    <w:rsid w:val="4FA52C49"/>
    <w:rsid w:val="522A2A9C"/>
    <w:rsid w:val="53DF53BB"/>
    <w:rsid w:val="5479575A"/>
    <w:rsid w:val="54E32EF8"/>
    <w:rsid w:val="58435D36"/>
    <w:rsid w:val="5DF956DC"/>
    <w:rsid w:val="611A2DA3"/>
    <w:rsid w:val="63DC6AAD"/>
    <w:rsid w:val="65250403"/>
    <w:rsid w:val="66287D10"/>
    <w:rsid w:val="6CCF0DA2"/>
    <w:rsid w:val="706E588D"/>
    <w:rsid w:val="74E465C4"/>
    <w:rsid w:val="767B0330"/>
    <w:rsid w:val="7A005636"/>
    <w:rsid w:val="7A821D96"/>
    <w:rsid w:val="7E1E4945"/>
    <w:rsid w:val="7E386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41"/>
    <w:basedOn w:val="6"/>
    <w:qFormat/>
    <w:uiPriority w:val="0"/>
    <w:rPr>
      <w:rFonts w:hint="eastAsia" w:ascii="仿宋" w:hAnsi="仿宋" w:eastAsia="仿宋" w:cs="仿宋"/>
      <w:color w:val="000000"/>
      <w:sz w:val="28"/>
      <w:szCs w:val="28"/>
      <w:u w:val="none"/>
    </w:rPr>
  </w:style>
  <w:style w:type="character" w:customStyle="1" w:styleId="10">
    <w:name w:val="font91"/>
    <w:basedOn w:val="6"/>
    <w:qFormat/>
    <w:uiPriority w:val="0"/>
    <w:rPr>
      <w:rFonts w:ascii="Arial" w:hAnsi="Arial" w:cs="Arial"/>
      <w:color w:val="000000"/>
      <w:sz w:val="28"/>
      <w:szCs w:val="28"/>
      <w:u w:val="none"/>
    </w:rPr>
  </w:style>
  <w:style w:type="character" w:customStyle="1" w:styleId="11">
    <w:name w:val="font21"/>
    <w:basedOn w:val="6"/>
    <w:qFormat/>
    <w:uiPriority w:val="0"/>
    <w:rPr>
      <w:rFonts w:hint="default" w:ascii="黑体" w:hAnsi="宋体" w:eastAsia="黑体" w:cs="黑体"/>
      <w:b/>
      <w:bCs/>
      <w:color w:val="000000"/>
      <w:sz w:val="24"/>
      <w:szCs w:val="24"/>
      <w:u w:val="none"/>
    </w:rPr>
  </w:style>
  <w:style w:type="character" w:customStyle="1" w:styleId="12">
    <w:name w:val="font51"/>
    <w:basedOn w:val="6"/>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3352</Words>
  <Characters>3667</Characters>
  <TotalTime>4</TotalTime>
  <ScaleCrop>false</ScaleCrop>
  <LinksUpToDate>false</LinksUpToDate>
  <CharactersWithSpaces>3743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2026-02-26T10:32:00Z</dcterms:created>
  <dc:creator>蒋万斌</dc:creator>
  <cp:lastModifiedBy>admin</cp:lastModifiedBy>
  <cp:lastPrinted>2026-03-10T04:43:00Z</cp:lastPrinted>
  <dcterms:modified xsi:type="dcterms:W3CDTF">2026-03-10T07:20:21Z</dcterms:modified>
  <dc:title>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2026-02-27T15:25:43Z</vt:filetime>
  </property>
  <property fmtid="{D5CDD505-2E9C-101B-9397-08002B2CF9AE}" pid="4" name="KSOTemplateDocerSaveRecord">
    <vt:lpwstr>eyJoZGlkIjoiZDdhOTQ4N2ViMmJlNTE2M2I0OTlhMjg4YzYwYmViYmMifQ==</vt:lpwstr>
  </property>
  <property fmtid="{D5CDD505-2E9C-101B-9397-08002B2CF9AE}" pid="5" name="KSOProductBuildVer">
    <vt:lpwstr>2052-12.1.0.25225</vt:lpwstr>
  </property>
  <property fmtid="{D5CDD505-2E9C-101B-9397-08002B2CF9AE}" pid="6" name="ICV">
    <vt:lpwstr>1B3DC454448D4CC8A07F5D0FC50E1293_12</vt:lpwstr>
  </property>
</Properties>
</file>