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1FEA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NEU-BZ-S92" w:hAnsi="NEU-BZ-S92" w:eastAsia="宋体" w:cs="新宋体"/>
          <w:b/>
          <w:bCs/>
          <w:color w:val="auto"/>
          <w:kern w:val="0"/>
          <w:sz w:val="44"/>
          <w:szCs w:val="44"/>
          <w:lang w:val="en-US" w:eastAsia="zh-CN"/>
        </w:rPr>
      </w:pPr>
      <w:r>
        <w:rPr>
          <w:rFonts w:hint="eastAsia" w:ascii="NEU-BZ-S92" w:hAnsi="NEU-BZ-S92" w:eastAsia="仿宋_GB2312" w:cs="Times New Roman"/>
          <w:color w:val="000000"/>
          <w:kern w:val="0"/>
          <w:sz w:val="24"/>
          <w:szCs w:val="24"/>
          <w:lang w:val="en-US" w:eastAsia="zh-CN" w:bidi="ar-SA"/>
        </w:rPr>
        <w:t>月城镇第十七届人大十次会议材料之4</w:t>
      </w:r>
    </w:p>
    <w:p w14:paraId="3EBFC30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NEU-BZ-S92" w:hAnsi="NEU-BZ-S92" w:cs="新宋体" w:eastAsiaTheme="minorEastAsia"/>
          <w:b/>
          <w:bCs/>
          <w:color w:val="auto"/>
          <w:kern w:val="0"/>
          <w:sz w:val="44"/>
          <w:szCs w:val="44"/>
        </w:rPr>
      </w:pPr>
    </w:p>
    <w:p w14:paraId="1B43F0A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NEU-BZ-S92" w:hAnsi="NEU-BZ-S92" w:eastAsia="方正小标宋简体" w:cs="方正小标宋简体"/>
          <w:b w:val="0"/>
          <w:bCs w:val="0"/>
          <w:color w:val="000000"/>
          <w:kern w:val="0"/>
          <w:sz w:val="42"/>
          <w:szCs w:val="42"/>
          <w:lang w:val="en-US" w:eastAsia="zh-CN" w:bidi="ar-SA"/>
        </w:rPr>
      </w:pPr>
      <w:r>
        <w:rPr>
          <w:rFonts w:hint="eastAsia" w:ascii="NEU-BZ-S92" w:hAnsi="NEU-BZ-S92" w:eastAsia="方正小标宋简体" w:cs="方正小标宋简体"/>
          <w:b w:val="0"/>
          <w:bCs w:val="0"/>
          <w:color w:val="000000"/>
          <w:kern w:val="0"/>
          <w:sz w:val="42"/>
          <w:szCs w:val="42"/>
          <w:lang w:val="en-US" w:eastAsia="zh-CN" w:bidi="ar-SA"/>
        </w:rPr>
        <w:t>月城镇2025年财政预算执行情况</w:t>
      </w:r>
    </w:p>
    <w:p w14:paraId="2173575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NEU-BZ-S92" w:hAnsi="NEU-BZ-S92" w:eastAsia="方正小标宋简体" w:cs="方正小标宋简体"/>
          <w:b w:val="0"/>
          <w:bCs w:val="0"/>
          <w:color w:val="000000"/>
          <w:kern w:val="0"/>
          <w:sz w:val="42"/>
          <w:szCs w:val="42"/>
          <w:lang w:val="en-US" w:eastAsia="zh-CN" w:bidi="ar-SA"/>
        </w:rPr>
      </w:pPr>
      <w:r>
        <w:rPr>
          <w:rFonts w:hint="eastAsia" w:ascii="NEU-BZ-S92" w:hAnsi="NEU-BZ-S92" w:eastAsia="方正小标宋简体" w:cs="方正小标宋简体"/>
          <w:b w:val="0"/>
          <w:bCs w:val="0"/>
          <w:color w:val="000000"/>
          <w:kern w:val="0"/>
          <w:sz w:val="42"/>
          <w:szCs w:val="42"/>
          <w:lang w:val="en-US" w:eastAsia="zh-CN" w:bidi="ar-SA"/>
        </w:rPr>
        <w:t>和2026年财政预算（草案）的报告（书面）</w:t>
      </w:r>
    </w:p>
    <w:p w14:paraId="3A2425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NEU-BZ-S92" w:hAnsi="NEU-BZ-S92" w:eastAsia="方正楷体简体" w:cs="方正楷体简体"/>
          <w:b w:val="0"/>
          <w:bCs w:val="0"/>
          <w:color w:val="auto"/>
          <w:sz w:val="32"/>
          <w:szCs w:val="32"/>
          <w:lang w:val="en-US" w:eastAsia="zh-CN"/>
        </w:rPr>
      </w:pPr>
      <w:r>
        <w:rPr>
          <w:rFonts w:hint="eastAsia" w:ascii="NEU-BZ-S92" w:hAnsi="NEU-BZ-S92" w:eastAsia="楷体_GB2312" w:cs="楷体_GB2312"/>
          <w:b w:val="0"/>
          <w:bCs w:val="0"/>
          <w:color w:val="auto"/>
          <w:sz w:val="32"/>
          <w:szCs w:val="32"/>
          <w:lang w:val="en-US" w:eastAsia="zh-CN"/>
        </w:rPr>
        <w:t xml:space="preserve"> </w:t>
      </w:r>
      <w:r>
        <w:rPr>
          <w:rFonts w:hint="eastAsia" w:ascii="NEU-BZ-S92" w:hAnsi="NEU-BZ-S92" w:eastAsia="方正楷体简体" w:cs="方正楷体简体"/>
          <w:b w:val="0"/>
          <w:bCs w:val="0"/>
          <w:color w:val="auto"/>
          <w:sz w:val="32"/>
          <w:szCs w:val="32"/>
          <w:lang w:val="en-US" w:eastAsia="zh-CN"/>
        </w:rPr>
        <w:t xml:space="preserve"> ——2026年3月27日在月城镇第十七届人民代表大会</w:t>
      </w:r>
    </w:p>
    <w:p w14:paraId="723235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NEU-BZ-S92" w:hAnsi="NEU-BZ-S92" w:eastAsia="方正楷体简体" w:cs="方正楷体简体"/>
          <w:b w:val="0"/>
          <w:bCs w:val="0"/>
          <w:color w:val="auto"/>
          <w:sz w:val="32"/>
          <w:szCs w:val="32"/>
          <w:lang w:val="en-US" w:eastAsia="zh-CN"/>
        </w:rPr>
      </w:pPr>
      <w:r>
        <w:rPr>
          <w:rFonts w:hint="eastAsia" w:ascii="NEU-BZ-S92" w:hAnsi="NEU-BZ-S92" w:eastAsia="方正楷体简体" w:cs="方正楷体简体"/>
          <w:b w:val="0"/>
          <w:bCs w:val="0"/>
          <w:color w:val="auto"/>
          <w:sz w:val="32"/>
          <w:szCs w:val="32"/>
          <w:lang w:val="en-US" w:eastAsia="zh-CN"/>
        </w:rPr>
        <w:t>第十次会议上</w:t>
      </w:r>
    </w:p>
    <w:p w14:paraId="05D84271">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NEU-BZ-S92" w:hAnsi="NEU-BZ-S92" w:eastAsia="楷体_GB2312" w:cs="楷体_GB2312"/>
          <w:kern w:val="2"/>
          <w:sz w:val="32"/>
          <w:szCs w:val="32"/>
          <w:lang w:val="en-US" w:eastAsia="zh-CN" w:bidi="ar-SA"/>
        </w:rPr>
      </w:pPr>
      <w:r>
        <w:rPr>
          <w:rFonts w:hint="eastAsia" w:ascii="NEU-BZ-S92" w:hAnsi="NEU-BZ-S92" w:eastAsia="方正楷体简体" w:cs="方正楷体简体"/>
          <w:kern w:val="2"/>
          <w:sz w:val="32"/>
          <w:szCs w:val="32"/>
          <w:lang w:val="en-US" w:eastAsia="zh-CN" w:bidi="ar-SA"/>
        </w:rPr>
        <w:t>月城镇副镇长人选 池东斌</w:t>
      </w:r>
    </w:p>
    <w:p w14:paraId="69582EC0">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NEU-BZ-S92" w:hAnsi="NEU-BZ-S92" w:eastAsia="宋体" w:cs="宋体"/>
          <w:color w:val="auto"/>
          <w:spacing w:val="0"/>
          <w:sz w:val="28"/>
          <w:szCs w:val="28"/>
          <w:shd w:val="clear" w:color="auto" w:fill="auto"/>
        </w:rPr>
      </w:pPr>
    </w:p>
    <w:p w14:paraId="763638E3">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NEU-BZ-S92" w:hAnsi="NEU-BZ-S92" w:eastAsia="方正仿宋简体" w:cs="方正仿宋简体"/>
          <w:color w:val="auto"/>
          <w:spacing w:val="0"/>
          <w:sz w:val="32"/>
          <w:szCs w:val="32"/>
          <w:shd w:val="clear" w:color="auto" w:fill="auto"/>
        </w:rPr>
      </w:pPr>
      <w:r>
        <w:rPr>
          <w:rFonts w:hint="eastAsia" w:ascii="NEU-BZ-S92" w:hAnsi="NEU-BZ-S92" w:eastAsia="方正仿宋简体" w:cs="方正仿宋简体"/>
          <w:color w:val="auto"/>
          <w:spacing w:val="0"/>
          <w:sz w:val="32"/>
          <w:szCs w:val="32"/>
          <w:shd w:val="clear" w:color="auto" w:fill="auto"/>
        </w:rPr>
        <w:t xml:space="preserve">各位代表：  </w:t>
      </w:r>
    </w:p>
    <w:p w14:paraId="48FB266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cs="宋体"/>
          <w:color w:val="auto"/>
          <w:spacing w:val="0"/>
          <w:sz w:val="32"/>
          <w:szCs w:val="32"/>
          <w:shd w:val="clear" w:color="auto" w:fill="auto"/>
          <w:lang w:val="en-US" w:eastAsia="zh-CN"/>
        </w:rPr>
      </w:pPr>
      <w:r>
        <w:rPr>
          <w:rFonts w:hint="eastAsia" w:ascii="NEU-BZ-S92" w:hAnsi="NEU-BZ-S92" w:eastAsia="方正仿宋简体" w:cs="方正仿宋简体"/>
          <w:color w:val="auto"/>
          <w:spacing w:val="0"/>
          <w:sz w:val="32"/>
          <w:szCs w:val="32"/>
          <w:shd w:val="clear" w:color="auto" w:fill="auto"/>
        </w:rPr>
        <w:t>我受</w:t>
      </w:r>
      <w:r>
        <w:rPr>
          <w:rFonts w:hint="eastAsia" w:ascii="NEU-BZ-S92" w:hAnsi="NEU-BZ-S92" w:eastAsia="方正仿宋简体" w:cs="方正仿宋简体"/>
          <w:color w:val="auto"/>
          <w:spacing w:val="0"/>
          <w:sz w:val="32"/>
          <w:szCs w:val="32"/>
          <w:shd w:val="clear" w:color="auto" w:fill="auto"/>
          <w:lang w:eastAsia="zh-CN"/>
        </w:rPr>
        <w:t>月城镇</w:t>
      </w:r>
      <w:r>
        <w:rPr>
          <w:rFonts w:hint="eastAsia" w:ascii="NEU-BZ-S92" w:hAnsi="NEU-BZ-S92" w:eastAsia="方正仿宋简体" w:cs="方正仿宋简体"/>
          <w:color w:val="auto"/>
          <w:spacing w:val="0"/>
          <w:sz w:val="32"/>
          <w:szCs w:val="32"/>
          <w:shd w:val="clear" w:color="auto" w:fill="auto"/>
        </w:rPr>
        <w:t>人民政府委托，向大会报告202</w:t>
      </w:r>
      <w:r>
        <w:rPr>
          <w:rFonts w:hint="eastAsia" w:ascii="NEU-BZ-S92" w:hAnsi="NEU-BZ-S92" w:eastAsia="方正仿宋简体" w:cs="方正仿宋简体"/>
          <w:color w:val="auto"/>
          <w:spacing w:val="0"/>
          <w:sz w:val="32"/>
          <w:szCs w:val="32"/>
          <w:shd w:val="clear" w:color="auto" w:fill="auto"/>
          <w:lang w:val="en-US" w:eastAsia="zh-CN"/>
        </w:rPr>
        <w:t>5</w:t>
      </w:r>
      <w:r>
        <w:rPr>
          <w:rFonts w:hint="eastAsia" w:ascii="NEU-BZ-S92" w:hAnsi="NEU-BZ-S92" w:eastAsia="方正仿宋简体" w:cs="方正仿宋简体"/>
          <w:color w:val="auto"/>
          <w:spacing w:val="0"/>
          <w:sz w:val="32"/>
          <w:szCs w:val="32"/>
          <w:shd w:val="clear" w:color="auto" w:fill="auto"/>
        </w:rPr>
        <w:t>年预算执行情况和202</w:t>
      </w:r>
      <w:r>
        <w:rPr>
          <w:rFonts w:hint="eastAsia" w:ascii="NEU-BZ-S92" w:hAnsi="NEU-BZ-S92" w:eastAsia="方正仿宋简体" w:cs="方正仿宋简体"/>
          <w:color w:val="auto"/>
          <w:spacing w:val="0"/>
          <w:sz w:val="32"/>
          <w:szCs w:val="32"/>
          <w:shd w:val="clear" w:color="auto" w:fill="auto"/>
          <w:lang w:val="en-US" w:eastAsia="zh-CN"/>
        </w:rPr>
        <w:t>6</w:t>
      </w:r>
      <w:r>
        <w:rPr>
          <w:rFonts w:hint="eastAsia" w:ascii="NEU-BZ-S92" w:hAnsi="NEU-BZ-S92" w:eastAsia="方正仿宋简体" w:cs="方正仿宋简体"/>
          <w:color w:val="auto"/>
          <w:spacing w:val="0"/>
          <w:sz w:val="32"/>
          <w:szCs w:val="32"/>
          <w:shd w:val="clear" w:color="auto" w:fill="auto"/>
        </w:rPr>
        <w:t>年</w:t>
      </w:r>
      <w:r>
        <w:rPr>
          <w:rFonts w:hint="eastAsia" w:ascii="NEU-BZ-S92" w:hAnsi="NEU-BZ-S92" w:eastAsia="方正仿宋简体" w:cs="方正仿宋简体"/>
          <w:color w:val="auto"/>
          <w:spacing w:val="0"/>
          <w:sz w:val="32"/>
          <w:szCs w:val="32"/>
          <w:shd w:val="clear" w:color="auto" w:fill="auto"/>
          <w:lang w:eastAsia="zh-CN"/>
        </w:rPr>
        <w:t>财政</w:t>
      </w:r>
      <w:r>
        <w:rPr>
          <w:rFonts w:hint="eastAsia" w:ascii="NEU-BZ-S92" w:hAnsi="NEU-BZ-S92" w:eastAsia="方正仿宋简体" w:cs="方正仿宋简体"/>
          <w:color w:val="auto"/>
          <w:spacing w:val="0"/>
          <w:sz w:val="32"/>
          <w:szCs w:val="32"/>
          <w:shd w:val="clear" w:color="auto" w:fill="auto"/>
        </w:rPr>
        <w:t>预算草案的报告，请予</w:t>
      </w:r>
      <w:r>
        <w:rPr>
          <w:rFonts w:hint="eastAsia" w:ascii="NEU-BZ-S92" w:hAnsi="NEU-BZ-S92" w:eastAsia="方正仿宋简体" w:cs="方正仿宋简体"/>
          <w:color w:val="auto"/>
          <w:spacing w:val="0"/>
          <w:sz w:val="32"/>
          <w:szCs w:val="32"/>
          <w:shd w:val="clear" w:color="auto" w:fill="auto"/>
          <w:lang w:val="en-US" w:eastAsia="zh-CN"/>
        </w:rPr>
        <w:t>以</w:t>
      </w:r>
      <w:r>
        <w:rPr>
          <w:rFonts w:hint="eastAsia" w:ascii="NEU-BZ-S92" w:hAnsi="NEU-BZ-S92" w:eastAsia="方正仿宋简体" w:cs="方正仿宋简体"/>
          <w:color w:val="auto"/>
          <w:spacing w:val="0"/>
          <w:sz w:val="32"/>
          <w:szCs w:val="32"/>
          <w:shd w:val="clear" w:color="auto" w:fill="auto"/>
        </w:rPr>
        <w:t>审议，并请列席的人员提出意见。</w:t>
      </w:r>
    </w:p>
    <w:p w14:paraId="4C854F1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黑体简体" w:cs="方正黑体简体"/>
          <w:b w:val="0"/>
          <w:bCs w:val="0"/>
          <w:color w:val="auto"/>
          <w:spacing w:val="0"/>
          <w:sz w:val="32"/>
          <w:szCs w:val="32"/>
          <w:shd w:val="clear" w:color="auto" w:fill="auto"/>
        </w:rPr>
      </w:pPr>
      <w:r>
        <w:rPr>
          <w:rFonts w:hint="eastAsia" w:ascii="NEU-BZ-S92" w:hAnsi="NEU-BZ-S92" w:eastAsia="方正黑体简体" w:cs="方正黑体简体"/>
          <w:b w:val="0"/>
          <w:bCs w:val="0"/>
          <w:color w:val="auto"/>
          <w:spacing w:val="0"/>
          <w:sz w:val="32"/>
          <w:szCs w:val="32"/>
          <w:shd w:val="clear" w:color="auto" w:fill="auto"/>
        </w:rPr>
        <w:t>一、20</w:t>
      </w:r>
      <w:r>
        <w:rPr>
          <w:rFonts w:hint="eastAsia" w:ascii="NEU-BZ-S92" w:hAnsi="NEU-BZ-S92" w:eastAsia="方正黑体简体" w:cs="方正黑体简体"/>
          <w:b w:val="0"/>
          <w:bCs w:val="0"/>
          <w:color w:val="auto"/>
          <w:spacing w:val="0"/>
          <w:sz w:val="32"/>
          <w:szCs w:val="32"/>
          <w:shd w:val="clear" w:color="auto" w:fill="auto"/>
          <w:lang w:val="en-US" w:eastAsia="zh-CN"/>
        </w:rPr>
        <w:t>25</w:t>
      </w:r>
      <w:r>
        <w:rPr>
          <w:rFonts w:hint="eastAsia" w:ascii="NEU-BZ-S92" w:hAnsi="NEU-BZ-S92" w:eastAsia="方正黑体简体" w:cs="方正黑体简体"/>
          <w:b w:val="0"/>
          <w:bCs w:val="0"/>
          <w:color w:val="auto"/>
          <w:spacing w:val="0"/>
          <w:sz w:val="32"/>
          <w:szCs w:val="32"/>
          <w:shd w:val="clear" w:color="auto" w:fill="auto"/>
        </w:rPr>
        <w:t>年财政预算执行情况</w:t>
      </w:r>
    </w:p>
    <w:p w14:paraId="71BA2F5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楷体简体" w:cs="方正楷体简体"/>
          <w:b w:val="0"/>
          <w:bCs w:val="0"/>
          <w:color w:val="auto"/>
          <w:spacing w:val="0"/>
          <w:sz w:val="32"/>
          <w:szCs w:val="32"/>
          <w:shd w:val="clear" w:color="auto" w:fill="auto"/>
        </w:rPr>
      </w:pPr>
      <w:r>
        <w:rPr>
          <w:rFonts w:hint="eastAsia" w:ascii="NEU-BZ-S92" w:hAnsi="NEU-BZ-S92" w:eastAsia="方正楷体简体" w:cs="方正楷体简体"/>
          <w:b w:val="0"/>
          <w:bCs w:val="0"/>
          <w:color w:val="auto"/>
          <w:spacing w:val="0"/>
          <w:sz w:val="32"/>
          <w:szCs w:val="32"/>
          <w:shd w:val="clear" w:color="auto" w:fill="auto"/>
        </w:rPr>
        <w:t>（一）202</w:t>
      </w:r>
      <w:r>
        <w:rPr>
          <w:rFonts w:hint="eastAsia" w:ascii="NEU-BZ-S92" w:hAnsi="NEU-BZ-S92" w:eastAsia="方正楷体简体" w:cs="方正楷体简体"/>
          <w:b w:val="0"/>
          <w:bCs w:val="0"/>
          <w:color w:val="auto"/>
          <w:spacing w:val="0"/>
          <w:sz w:val="32"/>
          <w:szCs w:val="32"/>
          <w:shd w:val="clear" w:color="auto" w:fill="auto"/>
          <w:lang w:val="en-US" w:eastAsia="zh-CN"/>
        </w:rPr>
        <w:t>5</w:t>
      </w:r>
      <w:r>
        <w:rPr>
          <w:rFonts w:hint="eastAsia" w:ascii="NEU-BZ-S92" w:hAnsi="NEU-BZ-S92" w:eastAsia="方正楷体简体" w:cs="方正楷体简体"/>
          <w:b w:val="0"/>
          <w:bCs w:val="0"/>
          <w:color w:val="auto"/>
          <w:spacing w:val="0"/>
          <w:sz w:val="32"/>
          <w:szCs w:val="32"/>
          <w:shd w:val="clear" w:color="auto" w:fill="auto"/>
        </w:rPr>
        <w:t>年</w:t>
      </w:r>
      <w:r>
        <w:rPr>
          <w:rFonts w:hint="eastAsia" w:ascii="NEU-BZ-S92" w:hAnsi="NEU-BZ-S92" w:eastAsia="方正楷体简体" w:cs="方正楷体简体"/>
          <w:b w:val="0"/>
          <w:bCs w:val="0"/>
          <w:color w:val="auto"/>
          <w:spacing w:val="0"/>
          <w:sz w:val="32"/>
          <w:szCs w:val="32"/>
          <w:shd w:val="clear" w:color="auto" w:fill="auto"/>
          <w:lang w:val="en-US" w:eastAsia="zh-CN"/>
        </w:rPr>
        <w:t>一般公共</w:t>
      </w:r>
      <w:r>
        <w:rPr>
          <w:rFonts w:hint="eastAsia" w:ascii="NEU-BZ-S92" w:hAnsi="NEU-BZ-S92" w:eastAsia="方正楷体简体" w:cs="方正楷体简体"/>
          <w:b w:val="0"/>
          <w:bCs w:val="0"/>
          <w:color w:val="auto"/>
          <w:spacing w:val="0"/>
          <w:sz w:val="32"/>
          <w:szCs w:val="32"/>
          <w:shd w:val="clear" w:color="auto" w:fill="auto"/>
        </w:rPr>
        <w:t>预算收</w:t>
      </w:r>
      <w:r>
        <w:rPr>
          <w:rFonts w:hint="eastAsia" w:ascii="NEU-BZ-S92" w:hAnsi="NEU-BZ-S92" w:eastAsia="方正楷体简体" w:cs="方正楷体简体"/>
          <w:b w:val="0"/>
          <w:bCs w:val="0"/>
          <w:color w:val="auto"/>
          <w:spacing w:val="0"/>
          <w:sz w:val="32"/>
          <w:szCs w:val="32"/>
          <w:shd w:val="clear" w:color="auto" w:fill="auto"/>
          <w:lang w:val="en-US" w:eastAsia="zh-CN"/>
        </w:rPr>
        <w:t>支执行</w:t>
      </w:r>
      <w:r>
        <w:rPr>
          <w:rFonts w:hint="eastAsia" w:ascii="NEU-BZ-S92" w:hAnsi="NEU-BZ-S92" w:eastAsia="方正楷体简体" w:cs="方正楷体简体"/>
          <w:b w:val="0"/>
          <w:bCs w:val="0"/>
          <w:color w:val="auto"/>
          <w:spacing w:val="0"/>
          <w:sz w:val="32"/>
          <w:szCs w:val="32"/>
          <w:shd w:val="clear" w:color="auto" w:fill="auto"/>
        </w:rPr>
        <w:t>情况</w:t>
      </w:r>
    </w:p>
    <w:p w14:paraId="3A784B2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2025年是“十四五”规划收官之年，也是谋划“十五五”发展蓝图的关键之年。这一年来，面对宏观经济承压前行、内部转型任务艰巨的复杂局面，全镇财政工作在镇党委、镇政府的坚强领导和镇人大的有力监督下，坚持稳中求进工作总基调，完整、准确、全面贯彻新发展理念，扎实落实积极财政政策，着力优化支出结构，切实保障和改善民生，财政运行稳健有序，为全镇经济社会高质量发展提供了坚实的财力支撑。</w:t>
      </w:r>
    </w:p>
    <w:p w14:paraId="7369C80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2025年全镇一般公共财政预算收入2005.67万元，其中区级库收入1399.29万元，上级补助收入606.38万元。</w:t>
      </w:r>
    </w:p>
    <w:p w14:paraId="353350D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2025年我镇一般公共财政预算支出为2005.67万元，具体执行情况如下：</w:t>
      </w:r>
    </w:p>
    <w:p w14:paraId="7B7DCD1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1、一般公共服务支出935.96万元；</w:t>
      </w:r>
    </w:p>
    <w:p w14:paraId="43A8F62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2、国防支出3万元；</w:t>
      </w:r>
    </w:p>
    <w:p w14:paraId="1D6C5F2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3、社会保障和就业支出746.44万元；</w:t>
      </w:r>
    </w:p>
    <w:p w14:paraId="32DF716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4、卫生健康支出59.23万元；</w:t>
      </w:r>
    </w:p>
    <w:p w14:paraId="64061D4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5、农林水事务支出187.89元；</w:t>
      </w:r>
    </w:p>
    <w:p w14:paraId="01DABD1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6、住房保障支出73.15万元。</w:t>
      </w:r>
    </w:p>
    <w:p w14:paraId="496422C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根据年终决算，2025年度我镇一般公共预算收入和一般公共预算支出收支相抵零结余，实现了财政收支平衡。</w:t>
      </w:r>
    </w:p>
    <w:p w14:paraId="51FC765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楷体简体" w:cs="方正楷体简体"/>
          <w:b w:val="0"/>
          <w:bCs w:val="0"/>
          <w:color w:val="auto"/>
          <w:spacing w:val="0"/>
          <w:sz w:val="32"/>
          <w:szCs w:val="32"/>
          <w:shd w:val="clear" w:color="auto" w:fill="auto"/>
        </w:rPr>
      </w:pPr>
      <w:r>
        <w:rPr>
          <w:rFonts w:hint="eastAsia" w:ascii="NEU-BZ-S92" w:hAnsi="NEU-BZ-S92" w:eastAsia="方正楷体简体" w:cs="方正楷体简体"/>
          <w:b w:val="0"/>
          <w:bCs w:val="0"/>
          <w:color w:val="auto"/>
          <w:spacing w:val="0"/>
          <w:sz w:val="32"/>
          <w:szCs w:val="32"/>
          <w:shd w:val="clear" w:color="auto" w:fill="auto"/>
        </w:rPr>
        <w:t>（</w:t>
      </w:r>
      <w:r>
        <w:rPr>
          <w:rFonts w:hint="eastAsia" w:ascii="NEU-BZ-S92" w:hAnsi="NEU-BZ-S92" w:eastAsia="方正楷体简体" w:cs="方正楷体简体"/>
          <w:b w:val="0"/>
          <w:bCs w:val="0"/>
          <w:color w:val="auto"/>
          <w:spacing w:val="0"/>
          <w:sz w:val="32"/>
          <w:szCs w:val="32"/>
          <w:shd w:val="clear" w:color="auto" w:fill="auto"/>
          <w:lang w:val="en-US" w:eastAsia="zh-CN"/>
        </w:rPr>
        <w:t>二</w:t>
      </w:r>
      <w:r>
        <w:rPr>
          <w:rFonts w:hint="eastAsia" w:ascii="NEU-BZ-S92" w:hAnsi="NEU-BZ-S92" w:eastAsia="方正楷体简体" w:cs="方正楷体简体"/>
          <w:b w:val="0"/>
          <w:bCs w:val="0"/>
          <w:color w:val="auto"/>
          <w:spacing w:val="0"/>
          <w:sz w:val="32"/>
          <w:szCs w:val="32"/>
          <w:shd w:val="clear" w:color="auto" w:fill="auto"/>
        </w:rPr>
        <w:t>）政府</w:t>
      </w:r>
      <w:r>
        <w:rPr>
          <w:rFonts w:hint="eastAsia" w:ascii="NEU-BZ-S92" w:hAnsi="NEU-BZ-S92" w:eastAsia="方正楷体简体" w:cs="方正楷体简体"/>
          <w:b w:val="0"/>
          <w:bCs w:val="0"/>
          <w:color w:val="auto"/>
          <w:spacing w:val="0"/>
          <w:sz w:val="32"/>
          <w:szCs w:val="32"/>
          <w:shd w:val="clear" w:color="auto" w:fill="auto"/>
          <w:lang w:eastAsia="zh-CN"/>
        </w:rPr>
        <w:t>性基金预算支出</w:t>
      </w:r>
      <w:r>
        <w:rPr>
          <w:rFonts w:hint="eastAsia" w:ascii="NEU-BZ-S92" w:hAnsi="NEU-BZ-S92" w:eastAsia="方正楷体简体" w:cs="方正楷体简体"/>
          <w:b w:val="0"/>
          <w:bCs w:val="0"/>
          <w:color w:val="auto"/>
          <w:spacing w:val="0"/>
          <w:sz w:val="32"/>
          <w:szCs w:val="32"/>
          <w:shd w:val="clear" w:color="auto" w:fill="auto"/>
          <w:lang w:val="en-US" w:eastAsia="zh-CN"/>
        </w:rPr>
        <w:t>收支执行</w:t>
      </w:r>
      <w:r>
        <w:rPr>
          <w:rFonts w:hint="eastAsia" w:ascii="NEU-BZ-S92" w:hAnsi="NEU-BZ-S92" w:eastAsia="方正楷体简体" w:cs="方正楷体简体"/>
          <w:b w:val="0"/>
          <w:bCs w:val="0"/>
          <w:color w:val="auto"/>
          <w:spacing w:val="0"/>
          <w:sz w:val="32"/>
          <w:szCs w:val="32"/>
          <w:shd w:val="clear" w:color="auto" w:fill="auto"/>
        </w:rPr>
        <w:t>情况</w:t>
      </w:r>
    </w:p>
    <w:p w14:paraId="0E2AEFD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2025年，区财政共下达我镇政府性基金692万元，已支出692万元，支付进度100%，已完成2025年度支出额度。</w:t>
      </w:r>
    </w:p>
    <w:p w14:paraId="0188468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楷体简体" w:cs="方正楷体简体"/>
          <w:b w:val="0"/>
          <w:bCs w:val="0"/>
          <w:color w:val="auto"/>
          <w:spacing w:val="0"/>
          <w:sz w:val="32"/>
          <w:szCs w:val="32"/>
          <w:shd w:val="clear" w:color="auto" w:fill="auto"/>
          <w:lang w:val="en-US" w:eastAsia="zh-CN"/>
        </w:rPr>
      </w:pPr>
      <w:r>
        <w:rPr>
          <w:rFonts w:hint="eastAsia" w:ascii="NEU-BZ-S92" w:hAnsi="NEU-BZ-S92" w:eastAsia="方正楷体简体" w:cs="方正楷体简体"/>
          <w:b w:val="0"/>
          <w:bCs w:val="0"/>
          <w:color w:val="auto"/>
          <w:spacing w:val="0"/>
          <w:sz w:val="32"/>
          <w:szCs w:val="32"/>
          <w:shd w:val="clear" w:color="auto" w:fill="auto"/>
          <w:lang w:val="en-US" w:eastAsia="zh-CN"/>
        </w:rPr>
        <w:t>（三）国有资本经营预算支出</w:t>
      </w:r>
    </w:p>
    <w:p w14:paraId="5CBF09E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 xml:space="preserve"> 2025年，我镇国有资本经营预算支出收入0.18万元，支出0.18万元，收支相抵零结余，实现了财政收支平衡。</w:t>
      </w:r>
    </w:p>
    <w:p w14:paraId="1D75538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宋体" w:cs="宋体"/>
          <w:b w:val="0"/>
          <w:bCs w:val="0"/>
          <w:color w:val="auto"/>
          <w:sz w:val="32"/>
          <w:szCs w:val="32"/>
          <w:lang w:val="en-US" w:eastAsia="zh-CN"/>
        </w:rPr>
      </w:pPr>
      <w:r>
        <w:rPr>
          <w:rFonts w:hint="eastAsia" w:ascii="NEU-BZ-S92" w:hAnsi="NEU-BZ-S92" w:eastAsia="方正黑体简体" w:cs="方正黑体简体"/>
          <w:b w:val="0"/>
          <w:bCs w:val="0"/>
          <w:color w:val="auto"/>
          <w:spacing w:val="0"/>
          <w:sz w:val="32"/>
          <w:szCs w:val="32"/>
          <w:shd w:val="clear" w:color="auto" w:fill="auto"/>
          <w:lang w:val="en-US" w:eastAsia="zh-CN"/>
        </w:rPr>
        <w:t>二、2025年财政工作情况</w:t>
      </w:r>
      <w:r>
        <w:rPr>
          <w:rFonts w:hint="eastAsia" w:ascii="NEU-BZ-S92" w:hAnsi="NEU-BZ-S92" w:eastAsia="宋体" w:cs="宋体"/>
          <w:b w:val="0"/>
          <w:bCs w:val="0"/>
          <w:color w:val="auto"/>
          <w:sz w:val="32"/>
          <w:szCs w:val="32"/>
          <w:lang w:val="en-US" w:eastAsia="zh-CN"/>
        </w:rPr>
        <w:t>　</w:t>
      </w:r>
    </w:p>
    <w:p w14:paraId="6C86AF3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宋体" w:cs="宋体"/>
          <w:b w:val="0"/>
          <w:bCs w:val="0"/>
          <w:color w:val="auto"/>
          <w:sz w:val="32"/>
          <w:szCs w:val="32"/>
          <w:lang w:val="en-US" w:eastAsia="zh-CN"/>
        </w:rPr>
      </w:pPr>
      <w:r>
        <w:rPr>
          <w:rFonts w:hint="eastAsia" w:ascii="NEU-BZ-S92" w:hAnsi="NEU-BZ-S92" w:eastAsia="方正楷体简体" w:cs="方正楷体简体"/>
          <w:b w:val="0"/>
          <w:bCs w:val="0"/>
          <w:color w:val="auto"/>
          <w:spacing w:val="0"/>
          <w:sz w:val="32"/>
          <w:szCs w:val="32"/>
          <w:shd w:val="clear" w:color="auto" w:fill="auto"/>
          <w:lang w:val="en-US" w:eastAsia="zh-CN"/>
        </w:rPr>
        <w:t>（一）深化财政管理提质增效。</w:t>
      </w:r>
      <w:r>
        <w:rPr>
          <w:rFonts w:hint="eastAsia" w:ascii="NEU-BZ-S92" w:hAnsi="NEU-BZ-S92" w:eastAsia="方正仿宋简体" w:cs="方正仿宋简体"/>
          <w:color w:val="auto"/>
          <w:spacing w:val="0"/>
          <w:kern w:val="2"/>
          <w:sz w:val="32"/>
          <w:szCs w:val="32"/>
          <w:shd w:val="clear" w:color="auto" w:fill="auto"/>
          <w:lang w:val="en-US" w:eastAsia="zh-CN" w:bidi="ar-SA"/>
        </w:rPr>
        <w:t>全面拓展“数字财政”系统应用广度和深度，持续推动财政信息化建设迭代升级。针对上级各类监督检查指出的财政管理和预算执行中的短板弱项，建立问题清单、责任清单和整改清单，实行销号管理，确保整改取得实质性成效。在此基础上，进一步强化预算绩效管理理念，推动预算编制、执行、监督全流程更加科学规范，切实提升财政管理的精准性和有效性。</w:t>
      </w:r>
    </w:p>
    <w:p w14:paraId="6BF4E70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宋体" w:cs="宋体"/>
          <w:b w:val="0"/>
          <w:bCs w:val="0"/>
          <w:color w:val="auto"/>
          <w:sz w:val="32"/>
          <w:szCs w:val="32"/>
          <w:lang w:val="en-US" w:eastAsia="zh-CN"/>
        </w:rPr>
      </w:pPr>
      <w:r>
        <w:rPr>
          <w:rFonts w:hint="eastAsia" w:ascii="NEU-BZ-S92" w:hAnsi="NEU-BZ-S92" w:eastAsia="方正楷体简体" w:cs="方正楷体简体"/>
          <w:b w:val="0"/>
          <w:bCs w:val="0"/>
          <w:color w:val="auto"/>
          <w:spacing w:val="0"/>
          <w:sz w:val="32"/>
          <w:szCs w:val="32"/>
          <w:shd w:val="clear" w:color="auto" w:fill="auto"/>
          <w:lang w:val="en-US" w:eastAsia="zh-CN"/>
        </w:rPr>
        <w:t>（二）强化财政资源统筹保障。</w:t>
      </w:r>
      <w:r>
        <w:rPr>
          <w:rFonts w:hint="eastAsia" w:ascii="NEU-BZ-S92" w:hAnsi="NEU-BZ-S92" w:eastAsia="方正仿宋简体" w:cs="方正仿宋简体"/>
          <w:color w:val="auto"/>
          <w:spacing w:val="0"/>
          <w:kern w:val="2"/>
          <w:sz w:val="32"/>
          <w:szCs w:val="32"/>
          <w:shd w:val="clear" w:color="auto" w:fill="auto"/>
          <w:lang w:val="en-US" w:eastAsia="zh-CN" w:bidi="ar-SA"/>
        </w:rPr>
        <w:t>我镇始终坚持“量入为出、保障重点”的原则，牢固树立和践行“过紧日子”思想，持续优化财政支出结构，最大限度提升财政资金使用效益。坚决兜牢“三保”底线，将“保基本民生、保工资、保运转”作为财政支出的优先保障领域，在预算安排和执行中优先保障，确保各项民生政策全面落实、工资按时发放、基层运转平稳有序。同时，积极盘活存量资金，统筹各类财政资源，集中财力支持乡村振兴、民生改善等重点工作，为全镇经济社会高质量发展提供坚实财政支撑。</w:t>
      </w:r>
    </w:p>
    <w:p w14:paraId="5D96191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2025年，我镇财政运行总体保持平稳，但财政可持续发展依然面临严峻挑战。主要表现在：一是镇域经济回升基础尚不牢固，税源支撑力有待增强。招商引资竞争日趋激烈，经济增长新动能亟待培育壮大；二是财政收入增长明显乏力，减收因素交织叠加。随着国家结构性减税降费政策延续及优化调整，政策性减收效应依然明显；三是刚性支出需求持续攀升，在可用财力增长极其有限的情况下，民生配套、乡村振兴、基层“三保”等刚性支出需求有增无减。特别是以前年度形成的历史遗留问题处置需在2025年集中安排资金，进一步挤占了有限的财政资源。</w:t>
      </w:r>
    </w:p>
    <w:p w14:paraId="701E97B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p>
    <w:p w14:paraId="06C16E7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黑体简体" w:cs="方正黑体简体"/>
          <w:b w:val="0"/>
          <w:bCs w:val="0"/>
          <w:color w:val="auto"/>
          <w:spacing w:val="0"/>
          <w:sz w:val="32"/>
          <w:szCs w:val="32"/>
          <w:shd w:val="clear" w:color="auto" w:fill="auto"/>
          <w:lang w:eastAsia="zh-CN"/>
        </w:rPr>
      </w:pPr>
      <w:r>
        <w:rPr>
          <w:rFonts w:hint="eastAsia" w:ascii="NEU-BZ-S92" w:hAnsi="NEU-BZ-S92" w:eastAsia="方正黑体简体" w:cs="方正黑体简体"/>
          <w:b w:val="0"/>
          <w:bCs w:val="0"/>
          <w:color w:val="auto"/>
          <w:spacing w:val="0"/>
          <w:sz w:val="32"/>
          <w:szCs w:val="32"/>
          <w:shd w:val="clear" w:color="auto" w:fill="auto"/>
          <w:lang w:val="en-US" w:eastAsia="zh-CN"/>
        </w:rPr>
        <w:t>三</w:t>
      </w:r>
      <w:r>
        <w:rPr>
          <w:rFonts w:hint="eastAsia" w:ascii="NEU-BZ-S92" w:hAnsi="NEU-BZ-S92" w:eastAsia="方正黑体简体" w:cs="方正黑体简体"/>
          <w:b w:val="0"/>
          <w:bCs w:val="0"/>
          <w:color w:val="auto"/>
          <w:spacing w:val="0"/>
          <w:sz w:val="32"/>
          <w:szCs w:val="32"/>
          <w:shd w:val="clear" w:color="auto" w:fill="auto"/>
        </w:rPr>
        <w:t>、20</w:t>
      </w:r>
      <w:r>
        <w:rPr>
          <w:rFonts w:hint="eastAsia" w:ascii="NEU-BZ-S92" w:hAnsi="NEU-BZ-S92" w:eastAsia="方正黑体简体" w:cs="方正黑体简体"/>
          <w:b w:val="0"/>
          <w:bCs w:val="0"/>
          <w:color w:val="auto"/>
          <w:spacing w:val="0"/>
          <w:sz w:val="32"/>
          <w:szCs w:val="32"/>
          <w:shd w:val="clear" w:color="auto" w:fill="auto"/>
          <w:lang w:val="en-US" w:eastAsia="zh-CN"/>
        </w:rPr>
        <w:t>26</w:t>
      </w:r>
      <w:r>
        <w:rPr>
          <w:rFonts w:hint="eastAsia" w:ascii="NEU-BZ-S92" w:hAnsi="NEU-BZ-S92" w:eastAsia="方正黑体简体" w:cs="方正黑体简体"/>
          <w:b w:val="0"/>
          <w:bCs w:val="0"/>
          <w:color w:val="auto"/>
          <w:spacing w:val="0"/>
          <w:sz w:val="32"/>
          <w:szCs w:val="32"/>
          <w:shd w:val="clear" w:color="auto" w:fill="auto"/>
        </w:rPr>
        <w:t>年财政预算</w:t>
      </w:r>
      <w:r>
        <w:rPr>
          <w:rFonts w:hint="eastAsia" w:ascii="NEU-BZ-S92" w:hAnsi="NEU-BZ-S92" w:eastAsia="方正黑体简体" w:cs="方正黑体简体"/>
          <w:b w:val="0"/>
          <w:bCs w:val="0"/>
          <w:color w:val="auto"/>
          <w:spacing w:val="0"/>
          <w:sz w:val="32"/>
          <w:szCs w:val="32"/>
          <w:shd w:val="clear" w:color="auto" w:fill="auto"/>
          <w:lang w:eastAsia="zh-CN"/>
        </w:rPr>
        <w:t>情况</w:t>
      </w:r>
    </w:p>
    <w:p w14:paraId="2320C32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2026年我镇财政工作的指导思想是：以习近平新时代中国特色社会主义思想为指导，全面贯彻落实党的二十大和二十届四中全会以及各级经济工作会议精神，坚持稳中求进工作总基调，完整、准确、全面贯彻新发展理念。实施更加积极有为的财政政策，强化财政资源和预算统筹，深化零基预算改革，打破支出固化格局。加强财政科学管理，防范化解运行风险，严肃财经纪律。坚持党政机关习惯过紧日子，大力压减一般性支出，优化财政支出结构，优先保障“三保”支出和镇党委、政府确定的重点领域。全面深化预算绩效管理，提高资金使用效益和政策效能，促进经济持续回升向好，为全镇经济社会高质量发展提供坚实财政保障。</w:t>
      </w:r>
    </w:p>
    <w:p w14:paraId="0E563F6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2026年度我镇一般公共财政预算支出为1534.45万元，其中：</w:t>
      </w:r>
    </w:p>
    <w:p w14:paraId="4E6E78D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1、一般公共服务支出1004.02万元；</w:t>
      </w:r>
    </w:p>
    <w:p w14:paraId="420D0B1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2、社会保障和就业支出310.24万元；</w:t>
      </w:r>
    </w:p>
    <w:p w14:paraId="24311AF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3、卫生健康支出58.25万元；</w:t>
      </w:r>
    </w:p>
    <w:p w14:paraId="4921A48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4、农林水事务支出63元；</w:t>
      </w:r>
    </w:p>
    <w:p w14:paraId="47FA676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5、住房保障支出98.94万元。</w:t>
      </w:r>
    </w:p>
    <w:p w14:paraId="62949A9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黑体简体" w:cs="方正黑体简体"/>
          <w:color w:val="auto"/>
          <w:spacing w:val="0"/>
          <w:sz w:val="32"/>
          <w:szCs w:val="32"/>
          <w:shd w:val="clear" w:color="auto" w:fill="auto"/>
          <w:lang w:val="en-US" w:eastAsia="zh-CN"/>
        </w:rPr>
      </w:pPr>
      <w:r>
        <w:rPr>
          <w:rFonts w:hint="eastAsia" w:ascii="NEU-BZ-S92" w:hAnsi="NEU-BZ-S92" w:eastAsia="方正黑体简体" w:cs="方正黑体简体"/>
          <w:b w:val="0"/>
          <w:bCs w:val="0"/>
          <w:color w:val="auto"/>
          <w:spacing w:val="0"/>
          <w:kern w:val="0"/>
          <w:sz w:val="32"/>
          <w:szCs w:val="32"/>
          <w:shd w:val="clear" w:color="auto" w:fill="auto"/>
          <w:lang w:val="en-US" w:eastAsia="zh-CN" w:bidi="ar"/>
        </w:rPr>
        <w:t>四、2026年财政工作重点</w:t>
      </w:r>
    </w:p>
    <w:p w14:paraId="28F9A6D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楷体简体" w:cs="方正楷体简体"/>
          <w:color w:val="auto"/>
          <w:spacing w:val="0"/>
          <w:kern w:val="2"/>
          <w:sz w:val="32"/>
          <w:szCs w:val="32"/>
          <w:shd w:val="clear" w:color="auto" w:fill="auto"/>
          <w:lang w:val="en-US" w:eastAsia="zh-CN" w:bidi="ar-SA"/>
        </w:rPr>
        <w:t>一是强化预算约束，深化零基预算改革。</w:t>
      </w:r>
      <w:r>
        <w:rPr>
          <w:rFonts w:hint="eastAsia" w:ascii="NEU-BZ-S92" w:hAnsi="NEU-BZ-S92" w:eastAsia="方正仿宋简体" w:cs="方正仿宋简体"/>
          <w:color w:val="auto"/>
          <w:spacing w:val="0"/>
          <w:kern w:val="2"/>
          <w:sz w:val="32"/>
          <w:szCs w:val="32"/>
          <w:shd w:val="clear" w:color="auto" w:fill="auto"/>
          <w:lang w:val="en-US" w:eastAsia="zh-CN" w:bidi="ar-SA"/>
        </w:rPr>
        <w:t>打破基数依赖和支出固化格局，坚持以零为基点编制预算，对所有财政支出进行严格审核。坚决落实党政机关习惯“过紧日子”要求，大力压减非急需、非刚性支出，严控“三公”经费和一般性行政支出。持续优化支出结构，集中财力兜牢“保基本民生、保工资、保运转”底线，精准保障乡村振兴、生态环保、社会事业等重点领域需求，切实提高财政资源配置效率。</w:t>
      </w:r>
    </w:p>
    <w:p w14:paraId="2E08ECD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楷体简体" w:cs="方正楷体简体"/>
          <w:color w:val="auto"/>
          <w:spacing w:val="0"/>
          <w:kern w:val="2"/>
          <w:sz w:val="32"/>
          <w:szCs w:val="32"/>
          <w:shd w:val="clear" w:color="auto" w:fill="auto"/>
          <w:lang w:val="en-US" w:eastAsia="zh-CN" w:bidi="ar-SA"/>
        </w:rPr>
        <w:t>二是抢抓政策机遇，积极争取上级资金。</w:t>
      </w:r>
      <w:r>
        <w:rPr>
          <w:rFonts w:hint="eastAsia" w:ascii="NEU-BZ-S92" w:hAnsi="NEU-BZ-S92" w:eastAsia="方正仿宋简体" w:cs="方正仿宋简体"/>
          <w:color w:val="auto"/>
          <w:spacing w:val="0"/>
          <w:kern w:val="2"/>
          <w:sz w:val="32"/>
          <w:szCs w:val="32"/>
          <w:shd w:val="clear" w:color="auto" w:fill="auto"/>
          <w:lang w:val="en-US" w:eastAsia="zh-CN" w:bidi="ar-SA"/>
        </w:rPr>
        <w:t>紧盯国家“十五五”规划支持方向及超长期特别国债、专项债券等政策窗口期，提前做好项目谋划储备。做实做细项目前期工作，提升项目成熟度和申报成功率。加强与上级部门沟通对接，力争更多打基础、利长远的重大项目纳入上级“盘子”。强化债券资金全过程监管，加快支出进度，推动尽快形成实物工作量，充分发挥资金撬动作用。</w:t>
      </w:r>
    </w:p>
    <w:p w14:paraId="1B012C3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楷体简体" w:cs="方正楷体简体"/>
          <w:color w:val="auto"/>
          <w:spacing w:val="0"/>
          <w:kern w:val="2"/>
          <w:sz w:val="32"/>
          <w:szCs w:val="32"/>
          <w:shd w:val="clear" w:color="auto" w:fill="auto"/>
          <w:lang w:val="en-US" w:eastAsia="zh-CN" w:bidi="ar-SA"/>
        </w:rPr>
        <w:t>三是推进财政科学管理，提升数字治理效能。</w:t>
      </w:r>
      <w:r>
        <w:rPr>
          <w:rFonts w:hint="eastAsia" w:ascii="NEU-BZ-S92" w:hAnsi="NEU-BZ-S92" w:eastAsia="方正仿宋简体" w:cs="方正仿宋简体"/>
          <w:color w:val="auto"/>
          <w:spacing w:val="0"/>
          <w:kern w:val="2"/>
          <w:sz w:val="32"/>
          <w:szCs w:val="32"/>
          <w:shd w:val="clear" w:color="auto" w:fill="auto"/>
          <w:lang w:val="en-US" w:eastAsia="zh-CN" w:bidi="ar-SA"/>
        </w:rPr>
        <w:t>深化“数字财政”系统应用，推动预算编制、预算执行、会计核算全流程线上规范化运行。强化财政运行监测和分析研判，提升库款保障能力</w:t>
      </w:r>
      <w:bookmarkStart w:id="0" w:name="_GoBack"/>
      <w:bookmarkEnd w:id="0"/>
      <w:r>
        <w:rPr>
          <w:rFonts w:hint="eastAsia" w:ascii="NEU-BZ-S92" w:hAnsi="NEU-BZ-S92" w:eastAsia="方正仿宋简体" w:cs="方正仿宋简体"/>
          <w:color w:val="auto"/>
          <w:spacing w:val="0"/>
          <w:kern w:val="2"/>
          <w:sz w:val="32"/>
          <w:szCs w:val="32"/>
          <w:shd w:val="clear" w:color="auto" w:fill="auto"/>
          <w:lang w:val="en-US" w:eastAsia="zh-CN" w:bidi="ar-SA"/>
        </w:rPr>
        <w:t>和风险预警水平。严肃财经纪律，加强财会监督，确保财政资金安全规范运行。持续推进预算绩效管理提质增效，将绩效理念深度融入预算编制、执行、监督全过程。</w:t>
      </w:r>
    </w:p>
    <w:p w14:paraId="558D650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2026年是“十五五”规划开局之年，也是我镇加快高质量发展的关键之年，做好财政工作意义重大、任务艰巨。我们将在镇党委、镇政府的坚强领导下，坚定信心、迎难而上，精打细算、厉行节约，确保完成全年各项财政目标任务，为全镇经济社会高质量发展贡献财政力量。</w:t>
      </w:r>
    </w:p>
    <w:sectPr>
      <w:footerReference r:id="rId3" w:type="default"/>
      <w:pgSz w:w="11906" w:h="16838"/>
      <w:pgMar w:top="2154" w:right="1531" w:bottom="192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NEU-BZ-S92">
    <w:panose1 w:val="02020503000000020003"/>
    <w:charset w:val="86"/>
    <w:family w:val="auto"/>
    <w:pitch w:val="default"/>
    <w:sig w:usb0="E00002FF" w:usb1="5ACFECFE" w:usb2="05000016" w:usb3="00000000" w:csb0="003E0001"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83A7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0747F">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00747F">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jNDA3OTA4MjFhNDJjNDViM2NmYWNkMjU2MTM5MWMifQ=="/>
  </w:docVars>
  <w:rsids>
    <w:rsidRoot w:val="03851164"/>
    <w:rsid w:val="02D90965"/>
    <w:rsid w:val="03851164"/>
    <w:rsid w:val="041A1188"/>
    <w:rsid w:val="041B0B1C"/>
    <w:rsid w:val="0FC1507C"/>
    <w:rsid w:val="10C71D0F"/>
    <w:rsid w:val="11E93BF9"/>
    <w:rsid w:val="135A4D00"/>
    <w:rsid w:val="1609105D"/>
    <w:rsid w:val="179D48DD"/>
    <w:rsid w:val="1A09461F"/>
    <w:rsid w:val="1A1D29DB"/>
    <w:rsid w:val="1AC55416"/>
    <w:rsid w:val="1ADF413A"/>
    <w:rsid w:val="1C1014E7"/>
    <w:rsid w:val="1CA23671"/>
    <w:rsid w:val="1D3B5F86"/>
    <w:rsid w:val="1DE87F80"/>
    <w:rsid w:val="218537B5"/>
    <w:rsid w:val="242B6116"/>
    <w:rsid w:val="24422B0F"/>
    <w:rsid w:val="24424E18"/>
    <w:rsid w:val="28902F18"/>
    <w:rsid w:val="28E2781A"/>
    <w:rsid w:val="3200580A"/>
    <w:rsid w:val="321C12E1"/>
    <w:rsid w:val="33B05C81"/>
    <w:rsid w:val="343C3F54"/>
    <w:rsid w:val="362B4280"/>
    <w:rsid w:val="36D704AA"/>
    <w:rsid w:val="37E34E12"/>
    <w:rsid w:val="39495149"/>
    <w:rsid w:val="3BA46EAD"/>
    <w:rsid w:val="3BB80364"/>
    <w:rsid w:val="3D72372C"/>
    <w:rsid w:val="404B7FF0"/>
    <w:rsid w:val="40827192"/>
    <w:rsid w:val="41F352A4"/>
    <w:rsid w:val="432E7269"/>
    <w:rsid w:val="439A13DF"/>
    <w:rsid w:val="4ABF5544"/>
    <w:rsid w:val="4B3D1240"/>
    <w:rsid w:val="4B8D7117"/>
    <w:rsid w:val="4C2832EE"/>
    <w:rsid w:val="4C502F90"/>
    <w:rsid w:val="4D5C1D0C"/>
    <w:rsid w:val="4D9877E9"/>
    <w:rsid w:val="4F462733"/>
    <w:rsid w:val="512A5408"/>
    <w:rsid w:val="51932220"/>
    <w:rsid w:val="52F85E4C"/>
    <w:rsid w:val="55865281"/>
    <w:rsid w:val="55FC2763"/>
    <w:rsid w:val="58221893"/>
    <w:rsid w:val="5A3115FC"/>
    <w:rsid w:val="5E023994"/>
    <w:rsid w:val="5E40626B"/>
    <w:rsid w:val="630C038D"/>
    <w:rsid w:val="63CC6BA1"/>
    <w:rsid w:val="65415CF6"/>
    <w:rsid w:val="6693312D"/>
    <w:rsid w:val="68282249"/>
    <w:rsid w:val="6A843983"/>
    <w:rsid w:val="6BE87355"/>
    <w:rsid w:val="6CE34991"/>
    <w:rsid w:val="6D1B5F01"/>
    <w:rsid w:val="70D56CE6"/>
    <w:rsid w:val="7202255D"/>
    <w:rsid w:val="74245F7E"/>
    <w:rsid w:val="7BEC52AD"/>
    <w:rsid w:val="7DA103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2"/>
    <w:basedOn w:val="1"/>
    <w:autoRedefine/>
    <w:qFormat/>
    <w:uiPriority w:val="99"/>
    <w:pPr>
      <w:jc w:val="center"/>
    </w:pPr>
    <w:rPr>
      <w:rFonts w:ascii="Times New Roman" w:hAnsi="Times New Roman"/>
      <w:b/>
      <w:bCs/>
      <w:sz w:val="32"/>
    </w:rPr>
  </w:style>
  <w:style w:type="paragraph" w:styleId="5">
    <w:name w:val="Normal (Web)"/>
    <w:basedOn w:val="1"/>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2333</Words>
  <Characters>2485</Characters>
  <Lines>0</Lines>
  <Paragraphs>0</Paragraphs>
  <TotalTime>3</TotalTime>
  <ScaleCrop>false</ScaleCrop>
  <LinksUpToDate>false</LinksUpToDate>
  <CharactersWithSpaces>2492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2024-04-19T07:59:00Z</dcterms:created>
  <dc:creator>Amy</dc:creator>
  <cp:lastModifiedBy>Crocodile</cp:lastModifiedBy>
  <cp:lastPrinted>2024-04-19T08:49:00Z</cp:lastPrinted>
  <dcterms:modified xsi:type="dcterms:W3CDTF">2026-06-17T04:19:23Z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232BBA8F9CDA4B169C36266D76DEF445_11</vt:lpwstr>
  </property>
  <property fmtid="{D5CDD505-2E9C-101B-9397-08002B2CF9AE}" pid="4" name="KSOTemplateDocerSaveRecord">
    <vt:lpwstr>eyJoZGlkIjoiYzNlZTk1MzljMWMwYWYwNDI2M2NmMmNiYmI5ZGY5OTYiLCJ1c2VySWQiOiI0OTA1NDcyODIifQ==</vt:lpwstr>
  </property>
</Properties>
</file>