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B8F58">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baseline"/>
        <w:rPr>
          <w:rStyle w:val="17"/>
          <w:rFonts w:hint="eastAsia" w:ascii="Times New Roman" w:hAnsi="Times New Roman" w:eastAsia="方正小标宋简体" w:cs="Times New Roman"/>
          <w:b w:val="0"/>
          <w:bCs/>
          <w:i w:val="0"/>
          <w:iCs w:val="0"/>
          <w:caps w:val="0"/>
          <w:color w:val="000000" w:themeColor="text1"/>
          <w:spacing w:val="0"/>
          <w:sz w:val="44"/>
          <w:szCs w:val="44"/>
          <w:u w:val="none"/>
          <w:vertAlign w:val="baseline"/>
          <w:lang w:eastAsia="zh-CN"/>
          <w14:textFill>
            <w14:solidFill>
              <w14:schemeClr w14:val="tx1"/>
            </w14:solidFill>
          </w14:textFill>
        </w:rPr>
      </w:pPr>
    </w:p>
    <w:p w14:paraId="6652B223">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Fonts w:hint="eastAsia" w:ascii="Times New Roman" w:hAnsi="Times New Roman" w:eastAsia="方正小标宋简体" w:cs="Times New Roman"/>
          <w:b w:val="0"/>
          <w:bCs/>
          <w:i w:val="0"/>
          <w:iCs w:val="0"/>
          <w:caps w:val="0"/>
          <w:color w:val="000000" w:themeColor="text1"/>
          <w:spacing w:val="0"/>
          <w:sz w:val="44"/>
          <w:szCs w:val="44"/>
          <w:u w:val="none"/>
          <w:lang w:val="en-US" w:eastAsia="zh-CN"/>
          <w14:textFill>
            <w14:solidFill>
              <w14:schemeClr w14:val="tx1"/>
            </w14:solidFill>
          </w14:textFill>
        </w:rPr>
      </w:pPr>
      <w:r>
        <w:rPr>
          <w:rStyle w:val="17"/>
          <w:rFonts w:hint="eastAsia" w:ascii="Times New Roman" w:hAnsi="Times New Roman" w:eastAsia="方正小标宋简体" w:cs="Times New Roman"/>
          <w:b w:val="0"/>
          <w:bCs/>
          <w:i w:val="0"/>
          <w:iCs w:val="0"/>
          <w:caps w:val="0"/>
          <w:color w:val="000000" w:themeColor="text1"/>
          <w:spacing w:val="0"/>
          <w:sz w:val="44"/>
          <w:szCs w:val="44"/>
          <w:u w:val="none"/>
          <w:vertAlign w:val="baseline"/>
          <w:lang w:eastAsia="zh-CN"/>
          <w14:textFill>
            <w14:solidFill>
              <w14:schemeClr w14:val="tx1"/>
            </w14:solidFill>
          </w14:textFill>
        </w:rPr>
        <w:t>揭阳</w:t>
      </w:r>
      <w:r>
        <w:rPr>
          <w:rStyle w:val="17"/>
          <w:rFonts w:hint="eastAsia" w:ascii="Times New Roman" w:hAnsi="Times New Roman" w:eastAsia="方正小标宋简体" w:cs="Times New Roman"/>
          <w:b w:val="0"/>
          <w:bCs/>
          <w:i w:val="0"/>
          <w:iCs w:val="0"/>
          <w:caps w:val="0"/>
          <w:color w:val="000000" w:themeColor="text1"/>
          <w:spacing w:val="0"/>
          <w:sz w:val="44"/>
          <w:szCs w:val="44"/>
          <w:u w:val="none"/>
          <w:vertAlign w:val="baseline"/>
          <w14:textFill>
            <w14:solidFill>
              <w14:schemeClr w14:val="tx1"/>
            </w14:solidFill>
          </w14:textFill>
        </w:rPr>
        <w:t>市基本医疗保险管理办法</w:t>
      </w:r>
    </w:p>
    <w:p w14:paraId="744CF9BE">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p>
    <w:p w14:paraId="71FD1B49">
      <w:pPr>
        <w:pStyle w:val="12"/>
        <w:keepNext w:val="0"/>
        <w:keepLines w:val="0"/>
        <w:pageBreakBefore w:val="0"/>
        <w:widowControl w:val="0"/>
        <w:numPr>
          <w:ilvl w:val="0"/>
          <w:numId w:val="1"/>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黑体" w:cs="Times New Roman"/>
          <w:b w:val="0"/>
          <w:bCs/>
          <w:i w:val="0"/>
          <w:iCs w:val="0"/>
          <w:caps w:val="0"/>
          <w:color w:val="000000" w:themeColor="text1"/>
          <w:spacing w:val="0"/>
          <w:sz w:val="32"/>
          <w:szCs w:val="32"/>
          <w:u w:val="none"/>
          <w:vertAlign w:val="baseline"/>
          <w14:textFill>
            <w14:solidFill>
              <w14:schemeClr w14:val="tx1"/>
            </w14:solidFill>
          </w14:textFill>
        </w:rPr>
      </w:pPr>
      <w:r>
        <w:rPr>
          <w:rStyle w:val="17"/>
          <w:rFonts w:hint="eastAsia" w:ascii="Times New Roman" w:hAnsi="Times New Roman" w:eastAsia="黑体" w:cs="Times New Roman"/>
          <w:b w:val="0"/>
          <w:bCs/>
          <w:i w:val="0"/>
          <w:iCs w:val="0"/>
          <w:caps w:val="0"/>
          <w:color w:val="000000" w:themeColor="text1"/>
          <w:spacing w:val="0"/>
          <w:sz w:val="32"/>
          <w:szCs w:val="32"/>
          <w:u w:val="none"/>
          <w:vertAlign w:val="baseline"/>
          <w14:textFill>
            <w14:solidFill>
              <w14:schemeClr w14:val="tx1"/>
            </w14:solidFill>
          </w14:textFill>
        </w:rPr>
        <w:t>总则</w:t>
      </w:r>
    </w:p>
    <w:p w14:paraId="59E73EEC">
      <w:pPr>
        <w:pStyle w:val="12"/>
        <w:keepNext w:val="0"/>
        <w:keepLines w:val="0"/>
        <w:pageBreakBefore w:val="0"/>
        <w:widowControl w:val="0"/>
        <w:numPr>
          <w:ilvl w:val="0"/>
          <w:numId w:val="2"/>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为进一步健全完善我市基本医疗保险制度，实施公平适度的待遇保障机制，强化医药服务管理协同，切实减轻参保人员就医负担，根据</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《中华人民共和国社会保险法》</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《中共中央国务院关于深化医疗保障制度改革的意见》《国务院办公厅关于健全基本医疗保险参保长效机制的指导意见》</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《广东省社会保险基金监督条例》</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以及国家和省医疗保障待遇清单制度等规定，结合我市实际，制定本办法。</w:t>
      </w:r>
    </w:p>
    <w:p w14:paraId="742E1954">
      <w:pPr>
        <w:pStyle w:val="12"/>
        <w:keepNext w:val="0"/>
        <w:keepLines w:val="0"/>
        <w:pageBreakBefore w:val="0"/>
        <w:widowControl w:val="0"/>
        <w:numPr>
          <w:ilvl w:val="0"/>
          <w:numId w:val="2"/>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本办法适用于本市行政区域内的基本医疗保险参保缴费、待遇保障、</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服务管理、</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基</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金监管等活</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动。</w:t>
      </w:r>
    </w:p>
    <w:p w14:paraId="7B4FEE66">
      <w:pPr>
        <w:pStyle w:val="12"/>
        <w:keepNext w:val="0"/>
        <w:keepLines w:val="0"/>
        <w:pageBreakBefore w:val="0"/>
        <w:widowControl w:val="0"/>
        <w:numPr>
          <w:ilvl w:val="0"/>
          <w:numId w:val="2"/>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基本医疗保险制度包括职工基本医疗保险（以下简称</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职工医保</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）和城乡居民基本医疗保险（以下简称</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居民医保</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），实行分类保障。参保人员包括</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职工基本医疗保险参保人员（以下简称“职工医保参保人员”）和城乡居民基本医疗保险参保人员（以下简称“居民医保参保人员”），参保人员按规定享受普通门诊、门诊特定病种、住院、大病保险等相关待遇。</w:t>
      </w:r>
    </w:p>
    <w:p w14:paraId="5698F1BD">
      <w:pPr>
        <w:pStyle w:val="12"/>
        <w:keepNext w:val="0"/>
        <w:keepLines w:val="0"/>
        <w:pageBreakBefore w:val="0"/>
        <w:widowControl w:val="0"/>
        <w:numPr>
          <w:ilvl w:val="0"/>
          <w:numId w:val="2"/>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我市基本医疗保险遵循以下原则：</w:t>
      </w:r>
    </w:p>
    <w:p w14:paraId="25C2ED3A">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（一）坚持以人民健康为中心，应保尽保、保障基本；</w:t>
      </w:r>
    </w:p>
    <w:p w14:paraId="377F6F22">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（二）坚持尽力而为、量力而行，筹资标准和保障能力与经济社会发展水平相适应；</w:t>
      </w:r>
    </w:p>
    <w:p w14:paraId="3629D4E9">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（三）坚持以收定支、收支平衡、略有结余，确保基金安全可持续；</w:t>
      </w:r>
    </w:p>
    <w:p w14:paraId="130D2CA4">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（四）坚持权利义务对等，构建多层次医疗保障体系。</w:t>
      </w:r>
    </w:p>
    <w:p w14:paraId="43E4D0F8">
      <w:pPr>
        <w:keepNext w:val="0"/>
        <w:keepLines w:val="0"/>
        <w:pageBreakBefore w:val="0"/>
        <w:widowControl w:val="0"/>
        <w:numPr>
          <w:ilvl w:val="0"/>
          <w:numId w:val="2"/>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u w:val="none"/>
          <w14:textFill>
            <w14:solidFill>
              <w14:schemeClr w14:val="tx1"/>
            </w14:solidFill>
          </w14:textFill>
        </w:rPr>
        <w:t>医疗保障</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行政</w:t>
      </w:r>
      <w:r>
        <w:rPr>
          <w:rFonts w:ascii="Times New Roman" w:hAnsi="Times New Roman" w:eastAsia="仿宋_GB2312" w:cs="Times New Roman"/>
          <w:color w:val="000000" w:themeColor="text1"/>
          <w:sz w:val="32"/>
          <w:szCs w:val="32"/>
          <w:u w:val="none"/>
          <w14:textFill>
            <w14:solidFill>
              <w14:schemeClr w14:val="tx1"/>
            </w14:solidFill>
          </w14:textFill>
        </w:rPr>
        <w:t>部门负责本行政区域内</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基本</w:t>
      </w:r>
      <w:r>
        <w:rPr>
          <w:rFonts w:ascii="Times New Roman" w:hAnsi="Times New Roman" w:eastAsia="仿宋_GB2312" w:cs="Times New Roman"/>
          <w:color w:val="000000" w:themeColor="text1"/>
          <w:sz w:val="32"/>
          <w:szCs w:val="32"/>
          <w:u w:val="none"/>
          <w14:textFill>
            <w14:solidFill>
              <w14:schemeClr w14:val="tx1"/>
            </w14:solidFill>
          </w14:textFill>
        </w:rPr>
        <w:t>医疗保障行政管理工作。医疗保障经办机构负责本行政区域内</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基本</w:t>
      </w:r>
      <w:r>
        <w:rPr>
          <w:rFonts w:ascii="Times New Roman" w:hAnsi="Times New Roman" w:eastAsia="仿宋_GB2312" w:cs="Times New Roman"/>
          <w:color w:val="000000" w:themeColor="text1"/>
          <w:sz w:val="32"/>
          <w:szCs w:val="32"/>
          <w:u w:val="none"/>
          <w14:textFill>
            <w14:solidFill>
              <w14:schemeClr w14:val="tx1"/>
            </w14:solidFill>
          </w14:textFill>
        </w:rPr>
        <w:t>医疗保险经办业务</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，并协助医疗保障行政部门对定点医药机构开展监督检查</w:t>
      </w:r>
      <w:r>
        <w:rPr>
          <w:rFonts w:ascii="Times New Roman" w:hAnsi="Times New Roman" w:eastAsia="仿宋_GB2312" w:cs="Times New Roman"/>
          <w:color w:val="000000" w:themeColor="text1"/>
          <w:sz w:val="32"/>
          <w:szCs w:val="32"/>
          <w:u w:val="none"/>
          <w14:textFill>
            <w14:solidFill>
              <w14:schemeClr w14:val="tx1"/>
            </w14:solidFill>
          </w14:textFill>
        </w:rPr>
        <w:t>。市级医疗保障经办机构负责承办市本级</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基本</w:t>
      </w:r>
      <w:r>
        <w:rPr>
          <w:rFonts w:ascii="Times New Roman" w:hAnsi="Times New Roman" w:eastAsia="仿宋_GB2312" w:cs="Times New Roman"/>
          <w:color w:val="000000" w:themeColor="text1"/>
          <w:sz w:val="32"/>
          <w:szCs w:val="32"/>
          <w:u w:val="none"/>
          <w14:textFill>
            <w14:solidFill>
              <w14:schemeClr w14:val="tx1"/>
            </w14:solidFill>
          </w14:textFill>
        </w:rPr>
        <w:t>医疗保险经办业</w:t>
      </w:r>
      <w:r>
        <w:rPr>
          <w:rFonts w:ascii="Times New Roman" w:hAnsi="Times New Roman" w:eastAsia="仿宋_GB2312" w:cs="Times New Roman"/>
          <w:color w:val="000000" w:themeColor="text1"/>
          <w:sz w:val="32"/>
          <w:szCs w:val="32"/>
          <w:highlight w:val="none"/>
          <w:u w:val="none"/>
          <w14:textFill>
            <w14:solidFill>
              <w14:schemeClr w14:val="tx1"/>
            </w14:solidFill>
          </w14:textFill>
        </w:rPr>
        <w:t>务并指导县（</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市、</w:t>
      </w:r>
      <w:r>
        <w:rPr>
          <w:rFonts w:ascii="Times New Roman" w:hAnsi="Times New Roman" w:eastAsia="仿宋_GB2312" w:cs="Times New Roman"/>
          <w:color w:val="000000" w:themeColor="text1"/>
          <w:sz w:val="32"/>
          <w:szCs w:val="32"/>
          <w:highlight w:val="none"/>
          <w:u w:val="none"/>
          <w14:textFill>
            <w14:solidFill>
              <w14:schemeClr w14:val="tx1"/>
            </w14:solidFill>
          </w14:textFill>
        </w:rPr>
        <w:t>区）</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基本医疗保险经办业务</w:t>
      </w:r>
      <w:r>
        <w:rPr>
          <w:rFonts w:ascii="Times New Roman" w:hAnsi="Times New Roman" w:eastAsia="仿宋_GB2312" w:cs="Times New Roman"/>
          <w:color w:val="000000" w:themeColor="text1"/>
          <w:sz w:val="32"/>
          <w:szCs w:val="32"/>
          <w:highlight w:val="none"/>
          <w:u w:val="none"/>
          <w14:textFill>
            <w14:solidFill>
              <w14:schemeClr w14:val="tx1"/>
            </w14:solidFill>
          </w14:textFill>
        </w:rPr>
        <w:t>。</w:t>
      </w:r>
    </w:p>
    <w:p w14:paraId="2CDB15D8">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税务部门负责做好征收工作和缴费服务，加强与医保部门数据对比，及时传递征缴信息，协助做好参保扩面工作。</w:t>
      </w:r>
    </w:p>
    <w:p w14:paraId="0262C966">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t>财政部门负责设立社保基金财政专户并分险种核算。安排基本医疗保险基金财政补助及落实医疗保障相关工作经费，纳入同级财政年度预算并按规定程序及时办理拨付手续。按职责对基本医疗保险基金的收支、管理情况实施监督。</w:t>
      </w:r>
    </w:p>
    <w:p w14:paraId="460C5F9D">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每年自1月1日起至12月31日止为一个医疗保险年度（以下简称</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医保年度</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w:t>
      </w:r>
    </w:p>
    <w:p w14:paraId="1078304A">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sz w:val="32"/>
          <w:szCs w:val="32"/>
          <w:u w:val="none"/>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鼓励发展商业健康保险，支持商业保险公司扩大重疾险等保险产品范围。积极引入符合条件的社会力量参与经办服务，建立共建共治共享的医保治理格局。</w:t>
      </w:r>
    </w:p>
    <w:p w14:paraId="3D518D4F">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p>
    <w:p w14:paraId="02398B0E">
      <w:pPr>
        <w:pStyle w:val="12"/>
        <w:keepNext w:val="0"/>
        <w:keepLines w:val="0"/>
        <w:pageBreakBefore w:val="0"/>
        <w:widowControl w:val="0"/>
        <w:numPr>
          <w:ilvl w:val="0"/>
          <w:numId w:val="1"/>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14:textFill>
            <w14:solidFill>
              <w14:schemeClr w14:val="tx1"/>
            </w14:solidFill>
          </w14:textFill>
        </w:rPr>
      </w:pPr>
      <w:r>
        <w:rPr>
          <w:rStyle w:val="17"/>
          <w:rFonts w:hint="eastAsia" w:ascii="Times New Roman" w:hAnsi="Times New Roman" w:eastAsia="黑体"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参保管理</w:t>
      </w:r>
    </w:p>
    <w:p w14:paraId="5C536FA2">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baseline"/>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第一节 参保范围</w:t>
      </w:r>
    </w:p>
    <w:p w14:paraId="0B01B0D2">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职工医保参保范围。本市行政区域内的企业、机关、事业单位、社会团体、民办非企业单位等用人单位及其职工应当依法参加职工医保。</w:t>
      </w:r>
    </w:p>
    <w:p w14:paraId="1C644C0B">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在法定劳动年龄内的下列人员（以下简称“灵活就业人员”），可以按灵活就业人员身份参加本市职工医保：</w:t>
      </w:r>
    </w:p>
    <w:p w14:paraId="0B32A819">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vertAlign w:val="baseline"/>
          <w:lang w:val="en-US" w:eastAsia="zh-CN" w:bidi="ar"/>
          <w14:textFill>
            <w14:solidFill>
              <w14:schemeClr w14:val="tx1"/>
            </w14:solidFill>
          </w14:textFill>
        </w:rPr>
        <w:t>（一）</w:t>
      </w: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本市行政辖区内无雇工的个体工商户；</w:t>
      </w:r>
    </w:p>
    <w:p w14:paraId="31B69AEE">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vertAlign w:val="baseline"/>
          <w:lang w:val="en-US" w:eastAsia="zh-CN" w:bidi="ar"/>
          <w14:textFill>
            <w14:solidFill>
              <w14:schemeClr w14:val="tx1"/>
            </w14:solidFill>
          </w14:textFill>
        </w:rPr>
        <w:t>（二）</w:t>
      </w: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未在用人单位参加职工医保的非全日制从业人员；</w:t>
      </w:r>
    </w:p>
    <w:p w14:paraId="0C7DD62C">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（三）依托电子商务、网络约车、网络送餐、快递物流等新业态平台实现就业，且未与新业态平台企业建立劳动关系的新型就业形态从业人员；</w:t>
      </w:r>
    </w:p>
    <w:p w14:paraId="208F92D2">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（四）国家和省规定的其他灵活就业人员。</w:t>
      </w:r>
    </w:p>
    <w:p w14:paraId="4774CFDF">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领取失业保险金期间的失业人员、因工致残被鉴定为一级至四级伤残的工伤职工（包括保留劳动关系和办理伤残退休手续的人员），应按规定参加职工医保。</w:t>
      </w:r>
    </w:p>
    <w:p w14:paraId="55EC4581">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居民医保参保范围。</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职工医保覆盖范围以外或按规定享有其他保障以外的城乡居民按规定参加居民医保，包括：我市户籍居民和居住证持有人、在我市居住且办理港澳台居民居住证的未就业港澳台居民</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或持有永久居留证的未就业外国人</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非本市户籍全日制</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在校学生</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、已在本市参保的外来人员其共同生活的学龄前子女</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等。</w:t>
      </w:r>
    </w:p>
    <w:p w14:paraId="42A358CE">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pPr>
    </w:p>
    <w:p w14:paraId="4AF23077">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baseline"/>
        <w:rPr>
          <w:rStyle w:val="17"/>
          <w:rFonts w:hint="default"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第二节 参保特殊情形</w:t>
      </w:r>
    </w:p>
    <w:p w14:paraId="59717922">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当年医保年度内可按规定办理中途参加居民医保，除个人缴费部分由政府资助参保的困难人员、经审核符合条件的新生儿、已办理职工医保中止手续的人员、新迁入本市户籍的人员、中途转入本市就读的在校学生、刑满释放人员、退役士兵等特殊群体外，其他中途参保人员</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按国家和省的</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规定计算待遇等待期，落实参保待遇。</w:t>
      </w:r>
    </w:p>
    <w:p w14:paraId="2B36B9E7">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特困人员，孤儿，事实无人抚养儿童，低保对象，低保边缘家庭成员，纳入监测范围的农村易返贫致贫人口，一、二、三级智力、精神残疾人，一、二级肢体残疾人，一级视力残疾人等符合条件的医疗救助对象</w:t>
      </w:r>
      <w:r>
        <w:rPr>
          <w:rFonts w:hint="default"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参加</w:t>
      </w: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揭阳市</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居民医保</w:t>
      </w:r>
      <w:r>
        <w:rPr>
          <w:rFonts w:hint="default"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的，其个人缴费部分给予全额资助</w:t>
      </w: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w:t>
      </w:r>
    </w:p>
    <w:p w14:paraId="05F9401C">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single"/>
          <w:vertAlign w:val="baseli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新生儿监护人可凭新生儿出生医学证明，于新生儿出生</w:t>
      </w: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180天内办理我市居民医保参保缴费，不受户籍地或居住地限制</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新生儿出生180天内因死亡无法办理户籍的，可凭死亡医学</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证明</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在父亲或母亲户籍地参加居民医保，医保待遇按规定</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报</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销后及时办理终止参保及注销手续。</w:t>
      </w:r>
    </w:p>
    <w:p w14:paraId="147E3149">
      <w:pPr>
        <w:pStyle w:val="2"/>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0" w:firstLineChars="0"/>
        <w:textAlignment w:val="auto"/>
        <w:rPr>
          <w:rStyle w:val="17"/>
          <w:rFonts w:hint="eastAsia" w:ascii="Times New Roman" w:hAnsi="Times New Roman" w:eastAsia="楷体_GB2312" w:cs="Times New Roman"/>
          <w:b w:val="0"/>
          <w:bCs/>
          <w:i w:val="0"/>
          <w:iCs w:val="0"/>
          <w:caps w:val="0"/>
          <w:color w:val="000000" w:themeColor="text1"/>
          <w:spacing w:val="0"/>
          <w:kern w:val="0"/>
          <w:sz w:val="32"/>
          <w:szCs w:val="32"/>
          <w:u w:val="none"/>
          <w:vertAlign w:val="baseline"/>
          <w:lang w:val="en-US" w:eastAsia="zh-CN" w:bidi="ar"/>
          <w14:textFill>
            <w14:solidFill>
              <w14:schemeClr w14:val="tx1"/>
            </w14:solidFill>
          </w14:textFill>
        </w:rPr>
      </w:pPr>
    </w:p>
    <w:p w14:paraId="5DF499B5">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baseline"/>
        <w:rPr>
          <w:rStyle w:val="17"/>
          <w:rFonts w:hint="default"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第三节 重复参保处理</w:t>
      </w:r>
    </w:p>
    <w:p w14:paraId="35F14916">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同一参保人员在同一时间段内只</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能</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参加一种国家实施的基本医疗保险制度，原则上不允许重复参保。重复参保涉及的财政补助资金扣减原则按国家和省相关规定执行。</w:t>
      </w:r>
    </w:p>
    <w:p w14:paraId="276C0EF2">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参保人员缴纳</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居民医保费</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后，进入居民医保待遇享受期前，因死亡、重复缴费、参加职工医保或</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在</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其他统筹</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地</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区</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重复参加居民医保</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的，可在</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14:textFill>
            <w14:solidFill>
              <w14:schemeClr w14:val="tx1"/>
            </w14:solidFill>
          </w14:textFill>
        </w:rPr>
        <w:t>终止或中止</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其居民医保参保关系的同时，</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按程序为个人</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办理退费。居民医保待遇享受期</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开始</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后</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个人缴费不再退回。</w:t>
      </w:r>
    </w:p>
    <w:p w14:paraId="1F5B182D">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pPr>
    </w:p>
    <w:p w14:paraId="3AD058F7">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baseline"/>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第四节 关系转移接续</w:t>
      </w:r>
    </w:p>
    <w:p w14:paraId="3869FD7E">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u w:val="none"/>
          <w14:textFill>
            <w14:solidFill>
              <w14:schemeClr w14:val="tx1"/>
            </w14:solidFill>
          </w14:textFill>
        </w:rPr>
        <w:t>参保人</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员已</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连续2年（</w:t>
      </w:r>
      <w:r>
        <w:rPr>
          <w:rFonts w:ascii="Times New Roman" w:hAnsi="Times New Roman" w:eastAsia="仿宋_GB2312" w:cs="Times New Roman"/>
          <w:color w:val="000000" w:themeColor="text1"/>
          <w:sz w:val="32"/>
          <w:szCs w:val="32"/>
          <w:u w:val="none"/>
          <w14:textFill>
            <w14:solidFill>
              <w14:schemeClr w14:val="tx1"/>
            </w14:solidFill>
          </w14:textFill>
        </w:rPr>
        <w:t>含）以上参加</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基本医疗保险</w:t>
      </w:r>
      <w:r>
        <w:rPr>
          <w:rFonts w:ascii="Times New Roman" w:hAnsi="Times New Roman" w:eastAsia="仿宋_GB2312" w:cs="Times New Roman"/>
          <w:color w:val="000000" w:themeColor="text1"/>
          <w:sz w:val="32"/>
          <w:szCs w:val="32"/>
          <w:u w:val="none"/>
          <w14:textFill>
            <w14:solidFill>
              <w14:schemeClr w14:val="tx1"/>
            </w14:solidFill>
          </w14:textFill>
        </w:rPr>
        <w:t>，因就业等个人状态变化</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在居民</w:t>
      </w:r>
      <w:r>
        <w:rPr>
          <w:rFonts w:ascii="Times New Roman" w:hAnsi="Times New Roman" w:eastAsia="仿宋_GB2312" w:cs="Times New Roman"/>
          <w:color w:val="000000" w:themeColor="text1"/>
          <w:sz w:val="32"/>
          <w:szCs w:val="32"/>
          <w:u w:val="none"/>
          <w14:textFill>
            <w14:solidFill>
              <w14:schemeClr w14:val="tx1"/>
            </w14:solidFill>
          </w14:textFill>
        </w:rPr>
        <w:t>医保</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和</w:t>
      </w:r>
      <w:r>
        <w:rPr>
          <w:rFonts w:ascii="Times New Roman" w:hAnsi="Times New Roman" w:eastAsia="仿宋_GB2312" w:cs="Times New Roman"/>
          <w:color w:val="000000" w:themeColor="text1"/>
          <w:sz w:val="32"/>
          <w:szCs w:val="32"/>
          <w:u w:val="none"/>
          <w14:textFill>
            <w14:solidFill>
              <w14:schemeClr w14:val="tx1"/>
            </w14:solidFill>
          </w14:textFill>
        </w:rPr>
        <w:t>职工</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医保间切换参保关系，</w:t>
      </w:r>
      <w:r>
        <w:rPr>
          <w:rFonts w:ascii="Times New Roman" w:hAnsi="Times New Roman" w:eastAsia="仿宋_GB2312" w:cs="Times New Roman"/>
          <w:color w:val="000000" w:themeColor="text1"/>
          <w:sz w:val="32"/>
          <w:szCs w:val="32"/>
          <w:u w:val="none"/>
          <w14:textFill>
            <w14:solidFill>
              <w14:schemeClr w14:val="tx1"/>
            </w14:solidFill>
          </w14:textFill>
        </w:rPr>
        <w:t>中断缴</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费3个月（含）以内的，可按规定办理基本医疗保险费补缴手续，缴费后即可正常享受待遇，中断期间的待遇可按规定追溯享受，且不得重复享受待遇。中断缴费3个月以上的，居民医保转职工医保，中断缴费期间不予补缴，待遇不予追溯，按规定在我市参加职工医保后，自正常缴费次月起享受相应待遇，连续参保不足2年或中断缴费3个月以上的还需执行等待期平移规定。职工</w:t>
      </w:r>
      <w:r>
        <w:rPr>
          <w:rFonts w:ascii="Times New Roman" w:hAnsi="Times New Roman" w:eastAsia="仿宋_GB2312" w:cs="Times New Roman"/>
          <w:color w:val="000000" w:themeColor="text1"/>
          <w:sz w:val="32"/>
          <w:szCs w:val="32"/>
          <w:u w:val="none"/>
          <w14:textFill>
            <w14:solidFill>
              <w14:schemeClr w14:val="tx1"/>
            </w14:solidFill>
          </w14:textFill>
        </w:rPr>
        <w:t>、居民医疗保险关系相互转接后，保留其原参保缴费记录。</w:t>
      </w:r>
    </w:p>
    <w:p w14:paraId="6EF76488">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职工医保</w:t>
      </w:r>
      <w:r>
        <w:rPr>
          <w:rFonts w:ascii="Times New Roman" w:hAnsi="Times New Roman" w:eastAsia="仿宋_GB2312" w:cs="Times New Roman"/>
          <w:color w:val="000000" w:themeColor="text1"/>
          <w:sz w:val="32"/>
          <w:szCs w:val="32"/>
          <w:u w:val="none"/>
          <w14:textFill>
            <w14:solidFill>
              <w14:schemeClr w14:val="tx1"/>
            </w14:solidFill>
          </w14:textFill>
        </w:rPr>
        <w:t>参保人员</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从其他地市</w:t>
      </w:r>
      <w:r>
        <w:rPr>
          <w:rFonts w:ascii="Times New Roman" w:hAnsi="Times New Roman" w:eastAsia="仿宋_GB2312" w:cs="Times New Roman"/>
          <w:color w:val="000000" w:themeColor="text1"/>
          <w:sz w:val="32"/>
          <w:szCs w:val="32"/>
          <w:u w:val="none"/>
          <w14:textFill>
            <w14:solidFill>
              <w14:schemeClr w14:val="tx1"/>
            </w14:solidFill>
          </w14:textFill>
        </w:rPr>
        <w:t>转入本市就业的，其基本医疗保险</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关系随本人转移，实际缴费年限累计计算。在转移接续前中断缴费3个月（含）以内的，可按规定办理中断缴费期间的职工医保费补缴手续，缴费当月即可享受待遇，中断期间的待遇可按规定追溯享受，且不得重复享受待遇。中断缴费3个月以上的，中断缴费期间的职工医保费不予补缴，待遇不予追溯，按规定在我市参加职工医保后，自正常缴费次月起享受相应待遇。</w:t>
      </w:r>
    </w:p>
    <w:p w14:paraId="193DFD89">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从外</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市</w:t>
      </w:r>
      <w:r>
        <w:rPr>
          <w:rFonts w:ascii="Times New Roman" w:hAnsi="Times New Roman" w:eastAsia="仿宋_GB2312" w:cs="Times New Roman"/>
          <w:color w:val="000000" w:themeColor="text1"/>
          <w:sz w:val="32"/>
          <w:szCs w:val="32"/>
          <w:u w:val="none"/>
          <w14:textFill>
            <w14:solidFill>
              <w14:schemeClr w14:val="tx1"/>
            </w14:solidFill>
          </w14:textFill>
        </w:rPr>
        <w:t>转入本市的参保人员达到法定退休年龄时，累计缴费不低于</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第二十二条规</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定的缴费年</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限（市外实际缴费年限可合并累计）且在本市的实际缴费年限不低于10年的</w:t>
      </w:r>
      <w:r>
        <w:rPr>
          <w:rFonts w:ascii="Times New Roman" w:hAnsi="Times New Roman" w:eastAsia="仿宋_GB2312" w:cs="Times New Roman"/>
          <w:color w:val="000000" w:themeColor="text1"/>
          <w:sz w:val="32"/>
          <w:szCs w:val="32"/>
          <w:u w:val="none"/>
          <w14:textFill>
            <w14:solidFill>
              <w14:schemeClr w14:val="tx1"/>
            </w14:solidFill>
          </w14:textFill>
        </w:rPr>
        <w:t>，不再缴纳基本医疗保险费，按规定享受本市基本医疗保险退休待遇。年限不足的，按本办法</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第二十四</w:t>
      </w:r>
      <w:r>
        <w:rPr>
          <w:rFonts w:ascii="Times New Roman" w:hAnsi="Times New Roman" w:eastAsia="仿宋_GB2312" w:cs="Times New Roman"/>
          <w:color w:val="000000" w:themeColor="text1"/>
          <w:sz w:val="32"/>
          <w:szCs w:val="32"/>
          <w:highlight w:val="none"/>
          <w:u w:val="none"/>
          <w14:textFill>
            <w14:solidFill>
              <w14:schemeClr w14:val="tx1"/>
            </w14:solidFill>
          </w14:textFill>
        </w:rPr>
        <w:t>条</w:t>
      </w:r>
      <w:r>
        <w:rPr>
          <w:rFonts w:ascii="Times New Roman" w:hAnsi="Times New Roman" w:eastAsia="仿宋_GB2312" w:cs="Times New Roman"/>
          <w:color w:val="000000" w:themeColor="text1"/>
          <w:sz w:val="32"/>
          <w:szCs w:val="32"/>
          <w:u w:val="none"/>
          <w14:textFill>
            <w14:solidFill>
              <w14:schemeClr w14:val="tx1"/>
            </w14:solidFill>
          </w14:textFill>
        </w:rPr>
        <w:t>规定办理。</w:t>
      </w:r>
    </w:p>
    <w:p w14:paraId="3A1EBA44">
      <w:pPr>
        <w:pStyle w:val="2"/>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 xml:space="preserve"> 已参加居民医保的参保人，原则上不再办理同一年度内跨统筹地区居民医保参保手续，可按规定参加转入地下一年度居民医保。</w:t>
      </w:r>
    </w:p>
    <w:p w14:paraId="7C745D63">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color w:val="000000" w:themeColor="text1"/>
          <w:lang w:val="en-US" w:eastAsia="zh-CN"/>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军人退出现役后转入本市参加职工</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医保</w:t>
      </w:r>
      <w:r>
        <w:rPr>
          <w:rFonts w:ascii="Times New Roman" w:hAnsi="Times New Roman" w:eastAsia="仿宋_GB2312" w:cs="Times New Roman"/>
          <w:color w:val="000000" w:themeColor="text1"/>
          <w:sz w:val="32"/>
          <w:szCs w:val="32"/>
          <w:u w:val="none"/>
          <w14:textFill>
            <w14:solidFill>
              <w14:schemeClr w14:val="tx1"/>
            </w14:solidFill>
          </w14:textFill>
        </w:rPr>
        <w:t>的，军人服现役年限视同职工</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医保实际</w:t>
      </w:r>
      <w:r>
        <w:rPr>
          <w:rFonts w:ascii="Times New Roman" w:hAnsi="Times New Roman" w:eastAsia="仿宋_GB2312" w:cs="Times New Roman"/>
          <w:color w:val="000000" w:themeColor="text1"/>
          <w:sz w:val="32"/>
          <w:szCs w:val="32"/>
          <w:u w:val="none"/>
          <w14:textFill>
            <w14:solidFill>
              <w14:schemeClr w14:val="tx1"/>
            </w14:solidFill>
          </w14:textFill>
        </w:rPr>
        <w:t>缴费年限，与入伍前和退役后参加职工</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医保</w:t>
      </w:r>
      <w:r>
        <w:rPr>
          <w:rFonts w:ascii="Times New Roman" w:hAnsi="Times New Roman" w:eastAsia="仿宋_GB2312" w:cs="Times New Roman"/>
          <w:color w:val="000000" w:themeColor="text1"/>
          <w:sz w:val="32"/>
          <w:szCs w:val="32"/>
          <w:u w:val="none"/>
          <w14:textFill>
            <w14:solidFill>
              <w14:schemeClr w14:val="tx1"/>
            </w14:solidFill>
          </w14:textFill>
        </w:rPr>
        <w:t>的</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缴费年限合并计算；与本办法</w:t>
      </w:r>
      <w:r>
        <w:rPr>
          <w:rFonts w:hint="eastAsia" w:ascii="Times New Roman" w:hAnsi="Times New Roman" w:eastAsia="仿宋_GB2312" w:cs="Times New Roman"/>
          <w:i w:val="0"/>
          <w:caps w:val="0"/>
          <w:color w:val="000000" w:themeColor="text1"/>
          <w:spacing w:val="0"/>
          <w:kern w:val="2"/>
          <w:sz w:val="32"/>
          <w:szCs w:val="32"/>
          <w:highlight w:val="none"/>
          <w:u w:val="none"/>
          <w:shd w:val="clear" w:color="auto" w:fill="FFFFFF"/>
          <w:lang w:val="en-US" w:eastAsia="zh-CN" w:bidi="ar-SA"/>
          <w14:textFill>
            <w14:solidFill>
              <w14:schemeClr w14:val="tx1"/>
            </w14:solidFill>
          </w14:textFill>
        </w:rPr>
        <w:t>第十六条</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规定的本市的实际缴费年限合并计算不低于10年。</w:t>
      </w:r>
    </w:p>
    <w:p w14:paraId="160B6B45">
      <w:pPr>
        <w:pStyle w:val="2"/>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line="560" w:lineRule="exact"/>
        <w:ind w:left="0" w:leftChars="0" w:firstLine="420" w:firstLineChars="200"/>
        <w:rPr>
          <w:rFonts w:hint="eastAsia" w:ascii="Times New Roman" w:hAnsi="Times New Roman" w:eastAsia="仿宋_GB2312" w:cs="Times New Roman"/>
          <w:color w:val="000000" w:themeColor="text1"/>
          <w:lang w:val="en-US" w:eastAsia="zh-CN"/>
          <w14:textFill>
            <w14:solidFill>
              <w14:schemeClr w14:val="tx1"/>
            </w14:solidFill>
          </w14:textFill>
        </w:rPr>
      </w:pPr>
    </w:p>
    <w:p w14:paraId="45D46F66">
      <w:pPr>
        <w:pStyle w:val="12"/>
        <w:keepNext w:val="0"/>
        <w:keepLines w:val="0"/>
        <w:pageBreakBefore w:val="0"/>
        <w:widowControl w:val="0"/>
        <w:numPr>
          <w:ilvl w:val="0"/>
          <w:numId w:val="1"/>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黑体" w:cs="Times New Roman"/>
          <w:b w:val="0"/>
          <w:bCs/>
          <w:i w:val="0"/>
          <w:iCs w:val="0"/>
          <w:caps w:val="0"/>
          <w:color w:val="000000" w:themeColor="text1"/>
          <w:spacing w:val="0"/>
          <w:sz w:val="32"/>
          <w:szCs w:val="32"/>
          <w:u w:val="none"/>
          <w:vertAlign w:val="baseline"/>
          <w14:textFill>
            <w14:solidFill>
              <w14:schemeClr w14:val="tx1"/>
            </w14:solidFill>
          </w14:textFill>
        </w:rPr>
      </w:pPr>
      <w:r>
        <w:rPr>
          <w:rStyle w:val="17"/>
          <w:rFonts w:hint="eastAsia" w:ascii="Times New Roman" w:hAnsi="Times New Roman" w:eastAsia="黑体" w:cs="Times New Roman"/>
          <w:b w:val="0"/>
          <w:bCs/>
          <w:i w:val="0"/>
          <w:iCs w:val="0"/>
          <w:caps w:val="0"/>
          <w:color w:val="000000" w:themeColor="text1"/>
          <w:spacing w:val="0"/>
          <w:sz w:val="32"/>
          <w:szCs w:val="32"/>
          <w:u w:val="none"/>
          <w:vertAlign w:val="baseline"/>
          <w14:textFill>
            <w14:solidFill>
              <w14:schemeClr w14:val="tx1"/>
            </w14:solidFill>
          </w14:textFill>
        </w:rPr>
        <w:t>筹资</w:t>
      </w:r>
      <w:r>
        <w:rPr>
          <w:rStyle w:val="17"/>
          <w:rFonts w:hint="eastAsia" w:ascii="Times New Roman" w:hAnsi="Times New Roman" w:eastAsia="黑体" w:cs="Times New Roman"/>
          <w:b w:val="0"/>
          <w:bCs/>
          <w:i w:val="0"/>
          <w:iCs w:val="0"/>
          <w:caps w:val="0"/>
          <w:color w:val="000000" w:themeColor="text1"/>
          <w:spacing w:val="0"/>
          <w:sz w:val="32"/>
          <w:szCs w:val="32"/>
          <w:u w:val="none"/>
          <w:vertAlign w:val="baseline"/>
          <w:lang w:eastAsia="zh-CN"/>
          <w14:textFill>
            <w14:solidFill>
              <w14:schemeClr w14:val="tx1"/>
            </w14:solidFill>
          </w14:textFill>
        </w:rPr>
        <w:t>管理</w:t>
      </w:r>
    </w:p>
    <w:p w14:paraId="77CAC0C1">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Fonts w:hint="eastAsia" w:ascii="Times New Roman" w:hAnsi="Times New Roman" w:eastAsia="楷体_GB2312" w:cs="Times New Roman"/>
          <w:b w:val="0"/>
          <w:bCs/>
          <w:i w:val="0"/>
          <w:iCs w:val="0"/>
          <w:caps w:val="0"/>
          <w:color w:val="000000" w:themeColor="text1"/>
          <w:spacing w:val="0"/>
          <w:sz w:val="32"/>
          <w:szCs w:val="32"/>
          <w:u w:val="none"/>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14:textFill>
            <w14:solidFill>
              <w14:schemeClr w14:val="tx1"/>
            </w14:solidFill>
          </w14:textFill>
        </w:rPr>
        <w:t>第</w:t>
      </w: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eastAsia="zh-CN"/>
          <w14:textFill>
            <w14:solidFill>
              <w14:schemeClr w14:val="tx1"/>
            </w14:solidFill>
          </w14:textFill>
        </w:rPr>
        <w:t>一</w:t>
      </w: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14:textFill>
            <w14:solidFill>
              <w14:schemeClr w14:val="tx1"/>
            </w14:solidFill>
          </w14:textFill>
        </w:rPr>
        <w:t>节 职工医保筹资</w:t>
      </w:r>
    </w:p>
    <w:p w14:paraId="5426262D">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职工医保费由用人单位和职工个人共同缴纳，个人缴费部分由单位代扣代缴。灵活就业人员基本医疗保险费由个人全额缴纳，失业人员领取失业保险金期间的基本医疗保险费由失业保险基金支付，因工致残被鉴定为一级至四级伤残的工伤职工基本医疗保险费由原用人单位或工伤保险基金支付。</w:t>
      </w:r>
    </w:p>
    <w:p w14:paraId="622F9FAB">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（一）缴费基数：职工个人月缴费基数按本人工资收入（总额）确定，用人单位月缴费基数按本单位参保职工个人月缴费工资总额确定。</w:t>
      </w:r>
    </w:p>
    <w:p w14:paraId="18E31A54">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灵活就业人员以个人申报的工资收入为缴费基数。</w:t>
      </w:r>
    </w:p>
    <w:p w14:paraId="0C2DD636">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失业人员领取失业保险金期间月缴费基数按本市上上年度全口径城镇单位就业人员月平均工资为缴费基数。</w:t>
      </w:r>
    </w:p>
    <w:p w14:paraId="3142CDF4">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因工致残被鉴定为一级至四级伤残的工伤职工以工伤职工伤残津贴为缴费基数。</w:t>
      </w:r>
    </w:p>
    <w:p w14:paraId="49237F3A">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（二）缴费费率：用人单位6%，职工个人2%；灵活就业人员和领取失业保险金的人员8%（设个人账户2%）。</w:t>
      </w:r>
    </w:p>
    <w:p w14:paraId="377F8431">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因工致残被鉴定为一级至四级伤残的工伤职工由原用人单位或工伤保险基金按6%，个人按2%。</w:t>
      </w:r>
    </w:p>
    <w:p w14:paraId="5F7A6039">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生育保险与职工医保合并征缴，由用人单位按职工医保缴费基数的1%缴纳。</w:t>
      </w:r>
    </w:p>
    <w:p w14:paraId="45C5F714">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缴费基数上下限。职工及灵活就业人员缴纳基本医疗保险费的月工资基数，上限不超本市上上年度全口径城镇单位就业人员月平均工资的300%；下限不低于本市上上年度全口径城镇单位就业人员月平均工资的60%，缴费基数的上限和下限每年由市医疗保障部门联合财政、税务部门发布。</w:t>
      </w:r>
    </w:p>
    <w:p w14:paraId="09A7D7CF">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缴费年限规定。职工医保参保人员达到法定退休年龄时累计缴费达到规定缴费年限的，退休后不再缴纳基本医疗保险费，享受退休人员医保待遇。职工医保参保人员缴费达到本办法规定的缴费年限，但未达到法定退休年龄的，应当继续缴费至法定退休年龄。其中，缴费年限是指参加职工医保的实际缴费年限，不包括视同缴费年限</w:t>
      </w:r>
      <w:r>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t>（退役军人除外）</w:t>
      </w: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。具体缴费年限标准如下：</w:t>
      </w:r>
    </w:p>
    <w:p w14:paraId="3A965450">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t>（一）2022年7月1日前，参加职工医保实际缴费年限累计须满15年，2022年7月1日起须满17年，2023年起须满18年，2024年起须满20年，2025年起须满22年，2026年起须满24年。</w:t>
      </w:r>
    </w:p>
    <w:p w14:paraId="0033D9E9">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t>（二）2027年起，我市男职工医保累计缴费年限须满26年，2028年起须满28年，2029年起须满29年，2030年起须满30年。</w:t>
      </w:r>
    </w:p>
    <w:p w14:paraId="233D21E9">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t>（三）2027年起，我市女职工医保累计缴费年限须满25年。</w:t>
      </w:r>
    </w:p>
    <w:p w14:paraId="492FF4AE">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t>参保人员达到法定退休年龄且职工医保缴费年限已满本市规定的缴费年限时，用人单位或个人应当在1个月内及时向税务部门申报减员后，向医疗保障经办机构申请办理在职转退休手续，</w:t>
      </w: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办理在职转退休手续后次月起，参保人员可按规定享受退休人员医保待遇。未及时办理在职转退休手续的，待遇不予补发。参保人员死亡的，其近亲属、监护人或者受委托人应当及时办理医保待遇终止手续。</w:t>
      </w:r>
    </w:p>
    <w:p w14:paraId="3CFDB92C">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缴费年限不足处理。达到法定退休年龄，缴费未达到本办法规定的缴费年限，用人单位或参保人员可以选择按月缴费或一次性缴费至规定年限或者申请终止其职工医保关系：</w:t>
      </w:r>
    </w:p>
    <w:p w14:paraId="66104081">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一）选择按一次性缴费至规定年限的，以办理一次性缴费时本市上上年度全口径城镇单位就业人员月平均工资为缴费基数，缴费比例为6%，一次性缴费部分不计个人账户。缴费达规定年限后，享受基本医疗保险退休待遇；</w:t>
      </w:r>
    </w:p>
    <w:p w14:paraId="7FC4B7C4">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（二）选择按月缴费至规定年限的，以退休后每年本市上上年度全口径城镇单位就业人员月平均工资为缴费基数，缴费比例6%，按月缴费期间，享受在职人员的医疗保障待遇，按月缴费部分不计个人账户。</w:t>
      </w:r>
    </w:p>
    <w:p w14:paraId="509BE76F">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用人单位和灵活就业人员应按月申报并足额缴纳基本医疗保险费。</w:t>
      </w:r>
      <w:r>
        <w:rPr>
          <w:rFonts w:ascii="Times New Roman" w:hAnsi="Times New Roman" w:eastAsia="仿宋_GB2312" w:cs="Times New Roman"/>
          <w:color w:val="000000" w:themeColor="text1"/>
          <w:sz w:val="32"/>
          <w:szCs w:val="32"/>
          <w:u w:val="none"/>
          <w14:textFill>
            <w14:solidFill>
              <w14:schemeClr w14:val="tx1"/>
            </w14:solidFill>
          </w14:textFill>
        </w:rPr>
        <w:t>因用人单位未</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按</w:t>
      </w:r>
      <w:r>
        <w:rPr>
          <w:rFonts w:ascii="Times New Roman" w:hAnsi="Times New Roman" w:eastAsia="仿宋_GB2312" w:cs="Times New Roman"/>
          <w:color w:val="000000" w:themeColor="text1"/>
          <w:sz w:val="32"/>
          <w:szCs w:val="32"/>
          <w:u w:val="none"/>
          <w14:textFill>
            <w14:solidFill>
              <w14:schemeClr w14:val="tx1"/>
            </w14:solidFill>
          </w14:textFill>
        </w:rPr>
        <w:t>规定</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及时为</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职工</w:t>
      </w:r>
      <w:r>
        <w:rPr>
          <w:rFonts w:ascii="Times New Roman" w:hAnsi="Times New Roman" w:eastAsia="仿宋_GB2312" w:cs="Times New Roman"/>
          <w:color w:val="000000" w:themeColor="text1"/>
          <w:sz w:val="32"/>
          <w:szCs w:val="32"/>
          <w:u w:val="none"/>
          <w14:textFill>
            <w14:solidFill>
              <w14:schemeClr w14:val="tx1"/>
            </w14:solidFill>
          </w14:textFill>
        </w:rPr>
        <w:t>办理参保缴费</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造成其无法享受基本医疗保险待遇</w:t>
      </w:r>
      <w:r>
        <w:rPr>
          <w:rFonts w:ascii="Times New Roman" w:hAnsi="Times New Roman" w:eastAsia="仿宋_GB2312" w:cs="Times New Roman"/>
          <w:color w:val="000000" w:themeColor="text1"/>
          <w:sz w:val="32"/>
          <w:szCs w:val="32"/>
          <w:u w:val="none"/>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其应享受的</w:t>
      </w:r>
      <w:r>
        <w:rPr>
          <w:rFonts w:ascii="Times New Roman" w:hAnsi="Times New Roman" w:eastAsia="仿宋_GB2312" w:cs="Times New Roman"/>
          <w:color w:val="000000" w:themeColor="text1"/>
          <w:sz w:val="32"/>
          <w:szCs w:val="32"/>
          <w:u w:val="none"/>
          <w14:textFill>
            <w14:solidFill>
              <w14:schemeClr w14:val="tx1"/>
            </w14:solidFill>
          </w14:textFill>
        </w:rPr>
        <w:t>基本医疗保险待遇由负有缴费义务的用人单位承担。</w:t>
      </w:r>
    </w:p>
    <w:p w14:paraId="5D93C6CD">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p>
    <w:p w14:paraId="0AE1CD01">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Fonts w:hint="eastAsia" w:ascii="Times New Roman" w:hAnsi="Times New Roman" w:eastAsia="楷体_GB2312" w:cs="Times New Roman"/>
          <w:b w:val="0"/>
          <w:bCs/>
          <w:i w:val="0"/>
          <w:iCs w:val="0"/>
          <w:caps w:val="0"/>
          <w:color w:val="000000" w:themeColor="text1"/>
          <w:spacing w:val="0"/>
          <w:sz w:val="32"/>
          <w:szCs w:val="32"/>
          <w:u w:val="none"/>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14:textFill>
            <w14:solidFill>
              <w14:schemeClr w14:val="tx1"/>
            </w14:solidFill>
          </w14:textFill>
        </w:rPr>
        <w:t>第</w:t>
      </w: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eastAsia="zh-CN"/>
          <w14:textFill>
            <w14:solidFill>
              <w14:schemeClr w14:val="tx1"/>
            </w14:solidFill>
          </w14:textFill>
        </w:rPr>
        <w:t>二节</w:t>
      </w: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 xml:space="preserve"> 职工医保</w:t>
      </w: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eastAsia="zh-CN"/>
          <w14:textFill>
            <w14:solidFill>
              <w14:schemeClr w14:val="tx1"/>
            </w14:solidFill>
          </w14:textFill>
        </w:rPr>
        <w:t>统筹基金和</w:t>
      </w: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14:textFill>
            <w14:solidFill>
              <w14:schemeClr w14:val="tx1"/>
            </w14:solidFill>
          </w14:textFill>
        </w:rPr>
        <w:t>个人账户</w:t>
      </w:r>
    </w:p>
    <w:p w14:paraId="54908645">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职工医保基金由统筹基金和个人账户构成。用人单位和个人缴纳的基本医疗保险费按规定比例计入统筹基金和个人账户。统筹基金和个人账户实施分别核算，不得相互挤占。</w:t>
      </w:r>
    </w:p>
    <w:p w14:paraId="4D43B12A">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职工个人缴纳的基本医疗保险费，全部计入其个人账户；用人单位缴纳的基本医疗保险费全部计入统筹基金，不计入个人账户。</w:t>
      </w:r>
    </w:p>
    <w:p w14:paraId="54717B2B">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strike w:val="0"/>
          <w:dstrike w:val="0"/>
          <w:color w:val="000000" w:themeColor="text1"/>
          <w:spacing w:val="0"/>
          <w:kern w:val="0"/>
          <w:sz w:val="32"/>
          <w:szCs w:val="32"/>
          <w:highlight w:val="none"/>
          <w:u w:val="none"/>
          <w:vertAlign w:val="baseline"/>
          <w:lang w:val="en-US" w:eastAsia="zh-CN" w:bidi="ar"/>
          <w14:textFill>
            <w14:solidFill>
              <w14:schemeClr w14:val="tx1"/>
            </w14:solidFill>
          </w14:textFill>
        </w:rPr>
        <w:t>缴费达到我市规定年限并已办理在职转退休手续的</w:t>
      </w: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退休人员个人账户由统筹基金按定额划入，</w:t>
      </w: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划入额度为每人每月103元</w:t>
      </w: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。划入个人账户标准如需调整，以省最新规定为准。</w:t>
      </w:r>
    </w:p>
    <w:p w14:paraId="344F9A0C">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个人账户的本金和利息归参保人员个人所有，可用于支付参保人员本人及其配偶、父母、子女的下列费用：</w:t>
      </w:r>
    </w:p>
    <w:p w14:paraId="1F8A1F7B">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（一）在定点医疗机构就医发生的由个人负担的医疗费用；</w:t>
      </w:r>
    </w:p>
    <w:p w14:paraId="5E6904BA">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（二）在定点零售药店购买药品、医疗器械和医用耗材发生的由个人负担的费用；</w:t>
      </w:r>
    </w:p>
    <w:p w14:paraId="175D37BB">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（三）参加居民医保等的个人缴费；</w:t>
      </w:r>
    </w:p>
    <w:p w14:paraId="23EEC563">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（四）参保人员本人退休时未达到职工医保最低缴费年限的缴费费用；</w:t>
      </w:r>
    </w:p>
    <w:p w14:paraId="4C667C4C">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（五）在定点医疗机构发生的由个人负担的符合规定的中医“治未病”费用；</w:t>
      </w:r>
    </w:p>
    <w:p w14:paraId="3B402565">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（六）其他符合国家、省规定的费用。</w:t>
      </w:r>
    </w:p>
    <w:p w14:paraId="1F502403">
      <w:pPr>
        <w:pStyle w:val="12"/>
        <w:keepNext w:val="0"/>
        <w:keepLines w:val="0"/>
        <w:pageBreakBefore w:val="0"/>
        <w:widowControl w:val="0"/>
        <w:numPr>
          <w:ilvl w:val="-1"/>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highlight w:val="none"/>
          <w:u w:val="none"/>
          <w:vertAlign w:val="baseline"/>
          <w:lang w:val="en-US" w:eastAsia="zh-CN" w:bidi="ar"/>
          <w14:textFill>
            <w14:solidFill>
              <w14:schemeClr w14:val="tx1"/>
            </w14:solidFill>
          </w14:textFill>
        </w:rPr>
        <w:t>支持个人账户用于支付参保人近亲属（包括配偶、父母、子女、兄弟姐妹、祖父母、外祖父母、孙子女、外孙子女）参加居民医保的个人缴费及已参保的近亲属在定点医药机构就医购药发生的个人自付医药费用。</w:t>
      </w:r>
    </w:p>
    <w:p w14:paraId="1FF9A741">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参保人员省内跨市转移职工医保关系的，个人账户资金跨市使用，不划转、不提现。参保人员跨省转移职工医保关系的，个人账户资金原则上随其划转，特殊情况无法转移时可以划入本人银行账户。</w:t>
      </w:r>
    </w:p>
    <w:p w14:paraId="57519AFA">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当参保人员死亡后，经申请，其个人账户资金可一次性划入本人银行账户，或者按规定继承。参保人出境（包括港澳台地区）定居、参保期间应征入伍的及跨省异地安置退休人员，经本人申请，其个人账户资金可划入本人银行账户。</w:t>
      </w:r>
    </w:p>
    <w:p w14:paraId="6C59448A">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14:textFill>
            <w14:solidFill>
              <w14:schemeClr w14:val="tx1"/>
            </w14:solidFill>
          </w14:textFill>
        </w:rPr>
      </w:pPr>
    </w:p>
    <w:p w14:paraId="2014404F">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Fonts w:hint="eastAsia" w:ascii="Times New Roman" w:hAnsi="Times New Roman" w:eastAsia="楷体_GB2312" w:cs="Times New Roman"/>
          <w:b w:val="0"/>
          <w:bCs/>
          <w:i w:val="0"/>
          <w:iCs w:val="0"/>
          <w:caps w:val="0"/>
          <w:color w:val="000000" w:themeColor="text1"/>
          <w:spacing w:val="0"/>
          <w:sz w:val="32"/>
          <w:szCs w:val="32"/>
          <w:u w:val="none"/>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14:textFill>
            <w14:solidFill>
              <w14:schemeClr w14:val="tx1"/>
            </w14:solidFill>
          </w14:textFill>
        </w:rPr>
        <w:t>第</w:t>
      </w: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eastAsia="zh-CN"/>
          <w14:textFill>
            <w14:solidFill>
              <w14:schemeClr w14:val="tx1"/>
            </w14:solidFill>
          </w14:textFill>
        </w:rPr>
        <w:t>三</w:t>
      </w: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14:textFill>
            <w14:solidFill>
              <w14:schemeClr w14:val="tx1"/>
            </w14:solidFill>
          </w14:textFill>
        </w:rPr>
        <w:t>节 居民医保筹资</w:t>
      </w:r>
    </w:p>
    <w:p w14:paraId="12B6B897">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居民医保实行个人缴费和财政补助相结合的筹资方式，</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个人缴费标准不低于国家和省规定标准。</w:t>
      </w:r>
    </w:p>
    <w:p w14:paraId="5A2D7BC6">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原则上每年9月1日至12月31日为我市居民医保下一医保年度集中征缴期。</w:t>
      </w:r>
    </w:p>
    <w:p w14:paraId="2C4819AE">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line="560" w:lineRule="exact"/>
        <w:ind w:left="0" w:leftChars="0" w:right="0"/>
        <w:jc w:val="both"/>
        <w:textAlignment w:val="baseline"/>
        <w:rPr>
          <w:rStyle w:val="17"/>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pPr>
    </w:p>
    <w:p w14:paraId="1102AB6E">
      <w:pPr>
        <w:pStyle w:val="12"/>
        <w:keepNext w:val="0"/>
        <w:keepLines w:val="0"/>
        <w:pageBreakBefore w:val="0"/>
        <w:widowControl w:val="0"/>
        <w:numPr>
          <w:ilvl w:val="0"/>
          <w:numId w:val="1"/>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Fonts w:hint="eastAsia" w:ascii="Times New Roman" w:hAnsi="Times New Roman" w:cs="Times New Roman"/>
          <w:color w:val="000000" w:themeColor="text1"/>
          <w14:textFill>
            <w14:solidFill>
              <w14:schemeClr w14:val="tx1"/>
            </w14:solidFill>
          </w14:textFill>
        </w:rPr>
      </w:pPr>
      <w:r>
        <w:rPr>
          <w:rStyle w:val="17"/>
          <w:rFonts w:hint="eastAsia" w:ascii="Times New Roman" w:hAnsi="Times New Roman" w:eastAsia="黑体"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待遇保障</w:t>
      </w:r>
    </w:p>
    <w:p w14:paraId="1D0FA631">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第一节 普通门诊</w:t>
      </w:r>
    </w:p>
    <w:p w14:paraId="546A3517">
      <w:pPr>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u w:val="none"/>
          <w:vertAlign w:val="baseline"/>
          <w:lang w:val="en-US" w:eastAsia="zh-CN" w:bidi="ar"/>
          <w14:textFill>
            <w14:solidFill>
              <w14:schemeClr w14:val="tx1"/>
            </w14:solidFill>
          </w14:textFill>
        </w:rPr>
        <w:t xml:space="preserve"> 基本医疗保险普通门诊统筹坚持统筹共济，保障基本；坚持以基层定点医药机构为依托，支持基层医疗卫生机构能力发展；坚持门诊医疗费用分担机制。</w:t>
      </w:r>
    </w:p>
    <w:p w14:paraId="2B791809">
      <w:pPr>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 xml:space="preserve"> 普通门诊就医实行定点服务管理。基本医疗保险定点医疗机构负责参保人的普通门诊就医管理、诊疗服务。居民医保普通门诊限二级及以下定点医疗机构，职工医保普通门诊就医不受定点医疗机构级别限制。</w:t>
      </w:r>
    </w:p>
    <w:p w14:paraId="349E68C1">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参保人可按照“自愿、就近、便捷”的原则，自主选择2家定点医疗机构</w:t>
      </w:r>
      <w:r>
        <w:rPr>
          <w:rFonts w:hint="eastAsia" w:ascii="Times New Roman" w:hAnsi="Times New Roman" w:eastAsia="仿宋_GB2312" w:cs="Times New Roman"/>
          <w:color w:val="000000" w:themeColor="text1"/>
          <w:kern w:val="0"/>
          <w:sz w:val="32"/>
          <w:szCs w:val="32"/>
          <w:highlight w:val="none"/>
          <w:u w:val="none"/>
          <w:lang w:val="en-US" w:eastAsia="zh-CN" w:bidi="ar"/>
          <w14:textFill>
            <w14:solidFill>
              <w14:schemeClr w14:val="tx1"/>
            </w14:solidFill>
          </w14:textFill>
        </w:rPr>
        <w:t>（仅可含1家乡镇卫生院、社区卫生服务中心、村卫生站，含与乡镇卫生院/社区卫生服务中心/村卫生站建立管理关系的其他定点医疗机构）。</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异地就医人员只能选择1家异地定点医疗机构，作为本人异地普通门诊就医定点医疗机构。选定的医疗机构</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原则上一年内不变更</w:t>
      </w:r>
      <w:r>
        <w:rPr>
          <w:rFonts w:hint="eastAsia" w:ascii="Times New Roman" w:hAnsi="Times New Roman" w:eastAsia="仿宋_GB2312" w:cs="Times New Roman"/>
          <w:strike w:val="0"/>
          <w:dstrike w:val="0"/>
          <w:color w:val="000000" w:themeColor="text1"/>
          <w:kern w:val="0"/>
          <w:sz w:val="32"/>
          <w:szCs w:val="32"/>
          <w:u w:val="none"/>
          <w:lang w:val="en-US" w:eastAsia="zh-CN" w:bidi="ar"/>
          <w14:textFill>
            <w14:solidFill>
              <w14:schemeClr w14:val="tx1"/>
            </w14:solidFill>
          </w14:textFill>
        </w:rPr>
        <w:t>。</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参保人可以通过线上渠道，也可到经办机构（定点医疗机构）办理医疗机构选定服务。参保人确因病情需要及居住地迁移等情形确需变更选定</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定点医药机构</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的，须到医疗保险经办机构办理变更手续。</w:t>
      </w:r>
    </w:p>
    <w:p w14:paraId="25495F26">
      <w:pPr>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b/>
          <w:bCs/>
          <w:color w:val="000000" w:themeColor="text1"/>
          <w:kern w:val="0"/>
          <w:sz w:val="32"/>
          <w:szCs w:val="32"/>
          <w:u w:val="none"/>
          <w:lang w:val="en-US" w:eastAsia="zh-CN" w:bidi="ar"/>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职工医保、居民医保普通门诊统筹所需资金分别从职工医保、居民医保统筹基金中列支。在统筹基金支出户中设置普通门诊支出明细。</w:t>
      </w:r>
    </w:p>
    <w:p w14:paraId="11E70A25">
      <w:pPr>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普通门诊不设起付标准，基金支付比例及年度支付限额为：</w:t>
      </w:r>
    </w:p>
    <w:p w14:paraId="5BDB99C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（一）</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职工医保参保人员年度普通门诊统筹基金最高支付限额</w:t>
      </w:r>
      <w:r>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t>为</w:t>
      </w:r>
      <w:r>
        <w:rPr>
          <w:rFonts w:hint="eastAsia" w:ascii="Times New Roman" w:hAnsi="Times New Roman" w:eastAsia="仿宋_GB2312" w:cs="Times New Roman"/>
          <w:b w:val="0"/>
          <w:bCs w:val="0"/>
          <w:i w:val="0"/>
          <w:caps w:val="0"/>
          <w:color w:val="000000" w:themeColor="text1"/>
          <w:spacing w:val="0"/>
          <w:sz w:val="32"/>
          <w:szCs w:val="32"/>
          <w:highlight w:val="none"/>
          <w:u w:val="none"/>
          <w:shd w:val="clear" w:color="auto" w:fill="FFFFFF"/>
          <w14:textFill>
            <w14:solidFill>
              <w14:schemeClr w14:val="tx1"/>
            </w14:solidFill>
          </w14:textFill>
        </w:rPr>
        <w:t>本市上上年度城镇在岗职工年平均工资的2%</w:t>
      </w:r>
      <w:r>
        <w:rPr>
          <w:rFonts w:hint="eastAsia" w:ascii="Times New Roman" w:hAnsi="Times New Roman" w:eastAsia="仿宋_GB2312" w:cs="Times New Roman"/>
          <w:b w:val="0"/>
          <w:bCs w:val="0"/>
          <w:i w:val="0"/>
          <w:caps w:val="0"/>
          <w:color w:val="000000" w:themeColor="text1"/>
          <w:spacing w:val="0"/>
          <w:sz w:val="32"/>
          <w:szCs w:val="32"/>
          <w:highlight w:val="none"/>
          <w:u w:val="none"/>
          <w:shd w:val="clear" w:color="auto" w:fill="FFFFFF"/>
          <w:lang w:val="en-US" w:eastAsia="zh-CN"/>
          <w14:textFill>
            <w14:solidFill>
              <w14:schemeClr w14:val="tx1"/>
            </w14:solidFill>
          </w14:textFill>
        </w:rPr>
        <w:t>（含一般诊疗费统筹基金支付），</w:t>
      </w:r>
      <w:r>
        <w:rPr>
          <w:rFonts w:hint="eastAsia" w:ascii="Times New Roman" w:hAnsi="Times New Roman" w:eastAsia="仿宋_GB2312" w:cs="Times New Roman"/>
          <w:b w:val="0"/>
          <w:bCs w:val="0"/>
          <w:i w:val="0"/>
          <w:caps w:val="0"/>
          <w:color w:val="000000" w:themeColor="text1"/>
          <w:spacing w:val="0"/>
          <w:sz w:val="32"/>
          <w:szCs w:val="32"/>
          <w:highlight w:val="none"/>
          <w:u w:val="none"/>
          <w:shd w:val="clear" w:color="auto" w:fill="FFFFFF"/>
          <w14:textFill>
            <w14:solidFill>
              <w14:schemeClr w14:val="tx1"/>
            </w14:solidFill>
          </w14:textFill>
        </w:rPr>
        <w:t>由市医疗保障行政部门按年度调整并公布</w:t>
      </w:r>
      <w:r>
        <w:rPr>
          <w:rFonts w:hint="eastAsia" w:ascii="Times New Roman" w:hAnsi="Times New Roman" w:eastAsia="仿宋_GB2312" w:cs="Times New Roman"/>
          <w:i w:val="0"/>
          <w:caps w:val="0"/>
          <w:color w:val="000000" w:themeColor="text1"/>
          <w:spacing w:val="0"/>
          <w:sz w:val="32"/>
          <w:szCs w:val="32"/>
          <w:highlight w:val="none"/>
          <w:u w:val="none"/>
          <w:shd w:val="clear" w:color="auto" w:fill="FFFFFF"/>
          <w14:textFill>
            <w14:solidFill>
              <w14:schemeClr w14:val="tx1"/>
            </w14:solidFill>
          </w14:textFill>
        </w:rPr>
        <w:t>。</w:t>
      </w:r>
      <w:r>
        <w:rPr>
          <w:rFonts w:hint="eastAsia"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t>年度最高支付限额以下的政策范围内医疗费用，由统筹</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基金按比例支付。其中一般诊疗费统筹基金支付70%，个人支付30%；除一般诊疗费外的基本医疗费用统筹基金支付比例：一级及以下定点医疗机构就诊在职人员为80%，退休人员为85%；二级定点医疗机构就诊在职人员为70%，退休人员为75%；三级定点医疗机构就诊在职人员为60%，退休人员为65%。</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参保人门诊就医</w:t>
      </w:r>
      <w:r>
        <w:rPr>
          <w:rFonts w:hint="eastAsia" w:ascii="Times New Roman" w:hAnsi="Times New Roman" w:eastAsia="仿宋_GB2312" w:cs="Times New Roman"/>
          <w:b w:val="0"/>
          <w:bCs w:val="0"/>
          <w:color w:val="000000" w:themeColor="text1"/>
          <w:kern w:val="0"/>
          <w:sz w:val="32"/>
          <w:szCs w:val="32"/>
          <w:u w:val="none"/>
          <w:lang w:val="en-US" w:eastAsia="zh-CN" w:bidi="ar"/>
          <w14:textFill>
            <w14:solidFill>
              <w14:schemeClr w14:val="tx1"/>
            </w14:solidFill>
          </w14:textFill>
        </w:rPr>
        <w:t>同一天统筹基金最高支付限额为140元，其余部分由参保人自付。</w:t>
      </w:r>
    </w:p>
    <w:p w14:paraId="46CF0157">
      <w:pPr>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（二）居民医保参保人员年度普通门诊统筹基金最高支付限额为400元</w:t>
      </w:r>
      <w:r>
        <w:rPr>
          <w:rFonts w:hint="eastAsia" w:ascii="Times New Roman" w:hAnsi="Times New Roman" w:eastAsia="仿宋_GB2312" w:cs="Times New Roman"/>
          <w:b w:val="0"/>
          <w:bCs w:val="0"/>
          <w:color w:val="000000" w:themeColor="text1"/>
          <w:kern w:val="0"/>
          <w:sz w:val="32"/>
          <w:szCs w:val="32"/>
          <w:u w:val="none"/>
          <w:lang w:val="en-US" w:eastAsia="zh-CN" w:bidi="ar"/>
          <w14:textFill>
            <w14:solidFill>
              <w14:schemeClr w14:val="tx1"/>
            </w14:solidFill>
          </w14:textFill>
        </w:rPr>
        <w:t>（</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限二级及以下定点医疗机构，</w:t>
      </w:r>
      <w:r>
        <w:rPr>
          <w:rFonts w:hint="eastAsia" w:ascii="Times New Roman" w:hAnsi="Times New Roman" w:eastAsia="仿宋_GB2312" w:cs="Times New Roman"/>
          <w:b w:val="0"/>
          <w:bCs w:val="0"/>
          <w:color w:val="000000" w:themeColor="text1"/>
          <w:kern w:val="0"/>
          <w:sz w:val="32"/>
          <w:szCs w:val="32"/>
          <w:u w:val="none"/>
          <w:lang w:val="en-US" w:eastAsia="zh-CN" w:bidi="ar"/>
          <w14:textFill>
            <w14:solidFill>
              <w14:schemeClr w14:val="tx1"/>
            </w14:solidFill>
          </w14:textFill>
        </w:rPr>
        <w:t>含一般诊疗费统筹基金支付）</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t>年度最高支付限额以下的政策范围内医疗费用，由统筹</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基金按比例支付。其中一般诊疗费统筹基金支付70%，个人支付30%；除一般诊疗费外的基本医疗费用统筹基金支付比例为60%。</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参保人门诊就医</w:t>
      </w:r>
      <w:r>
        <w:rPr>
          <w:rFonts w:hint="eastAsia" w:ascii="Times New Roman" w:hAnsi="Times New Roman" w:eastAsia="仿宋_GB2312" w:cs="Times New Roman"/>
          <w:b w:val="0"/>
          <w:bCs w:val="0"/>
          <w:color w:val="000000" w:themeColor="text1"/>
          <w:kern w:val="0"/>
          <w:sz w:val="32"/>
          <w:szCs w:val="32"/>
          <w:u w:val="none"/>
          <w:lang w:val="en-US" w:eastAsia="zh-CN" w:bidi="ar"/>
          <w14:textFill>
            <w14:solidFill>
              <w14:schemeClr w14:val="tx1"/>
            </w14:solidFill>
          </w14:textFill>
        </w:rPr>
        <w:t>同一天统筹基金最高支付限额为40元，其余部分由参保人自付</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w:t>
      </w:r>
    </w:p>
    <w:p w14:paraId="5EECA25C">
      <w:pPr>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（三）异地就医参保人的</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普通门诊</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报销政策与市内保持一致，一个医保年度内，发生的符合医保支付范围的异地普通门诊医疗费用与本市累加计算，达到最高支付限额的不再纳入报销范围。</w:t>
      </w:r>
    </w:p>
    <w:p w14:paraId="2D2C610F">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（四）普通门诊统筹按医保年度结算年度限额，限额在当年度使用，不能结转下一年度，不能转让他人使用</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。参保人使用额度不纳入住院</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和门特最高支付限额累计范围</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w:t>
      </w:r>
      <w:r>
        <w:rPr>
          <w:rFonts w:hint="eastAsia" w:ascii="Times New Roman" w:hAnsi="Times New Roman" w:eastAsia="仿宋_GB2312" w:cs="Times New Roman"/>
          <w:strike w:val="0"/>
          <w:dstrike w:val="0"/>
          <w:color w:val="000000" w:themeColor="text1"/>
          <w:kern w:val="0"/>
          <w:sz w:val="32"/>
          <w:szCs w:val="32"/>
          <w:u w:val="none"/>
          <w:lang w:val="en-US" w:eastAsia="zh-CN" w:bidi="ar"/>
          <w14:textFill>
            <w14:solidFill>
              <w14:schemeClr w14:val="tx1"/>
            </w14:solidFill>
          </w14:textFill>
        </w:rPr>
        <w:t>不纳入大病保险</w:t>
      </w:r>
      <w:r>
        <w:rPr>
          <w:rFonts w:hint="eastAsia" w:cs="Times New Roman"/>
          <w:strike w:val="0"/>
          <w:dstrike w:val="0"/>
          <w:color w:val="000000" w:themeColor="text1"/>
          <w:kern w:val="0"/>
          <w:sz w:val="32"/>
          <w:szCs w:val="32"/>
          <w:u w:val="none"/>
          <w:lang w:val="en-US" w:eastAsia="zh-CN" w:bidi="ar"/>
          <w14:textFill>
            <w14:solidFill>
              <w14:schemeClr w14:val="tx1"/>
            </w14:solidFill>
          </w14:textFill>
        </w:rPr>
        <w:t>资</w:t>
      </w:r>
      <w:r>
        <w:rPr>
          <w:rFonts w:hint="eastAsia" w:ascii="Times New Roman" w:hAnsi="Times New Roman" w:eastAsia="仿宋_GB2312" w:cs="Times New Roman"/>
          <w:strike w:val="0"/>
          <w:dstrike w:val="0"/>
          <w:color w:val="000000" w:themeColor="text1"/>
          <w:kern w:val="0"/>
          <w:sz w:val="32"/>
          <w:szCs w:val="32"/>
          <w:u w:val="none"/>
          <w:lang w:val="en-US" w:eastAsia="zh-CN" w:bidi="ar"/>
          <w14:textFill>
            <w14:solidFill>
              <w14:schemeClr w14:val="tx1"/>
            </w14:solidFill>
          </w14:textFill>
        </w:rPr>
        <w:t>金支付范围</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w:t>
      </w:r>
    </w:p>
    <w:p w14:paraId="4CC19ED6">
      <w:pPr>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u w:val="singl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 xml:space="preserve"> 一个医保年度内，参保人员在职工医保和居民医保之间切换参保身份的，自变更次月起按变更后参保险种对应的普通门诊待遇标准执行。</w:t>
      </w:r>
    </w:p>
    <w:p w14:paraId="21406FB5">
      <w:pPr>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22"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b/>
          <w:bCs/>
          <w:color w:val="000000" w:themeColor="text1"/>
          <w:kern w:val="0"/>
          <w:sz w:val="31"/>
          <w:szCs w:val="31"/>
          <w:lang w:val="en-US" w:eastAsia="zh-CN" w:bidi="ar"/>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下列医疗费用不纳入基本医疗保险普通门诊统筹基金支付：</w:t>
      </w:r>
    </w:p>
    <w:p w14:paraId="466D17B4">
      <w:pPr>
        <w:keepNext w:val="0"/>
        <w:keepLines w:val="0"/>
        <w:pageBreakBefore w:val="0"/>
        <w:widowControl w:val="0"/>
        <w:numPr>
          <w:ilvl w:val="0"/>
          <w:numId w:val="4"/>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未在选定定点医药机构发生的普通门诊医疗费用</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w:t>
      </w:r>
    </w:p>
    <w:p w14:paraId="2D9476C8">
      <w:pPr>
        <w:keepNext w:val="0"/>
        <w:keepLines w:val="0"/>
        <w:pageBreakBefore w:val="0"/>
        <w:widowControl w:val="0"/>
        <w:numPr>
          <w:ilvl w:val="0"/>
          <w:numId w:val="4"/>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不符合省、</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市</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基本医疗保险普通门诊药品目录</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（含国家谈判药品）、医用耗材和诊疗项目支付范围的医疗费用；</w:t>
      </w:r>
    </w:p>
    <w:p w14:paraId="2D8C0716">
      <w:pPr>
        <w:keepNext w:val="0"/>
        <w:keepLines w:val="0"/>
        <w:pageBreakBefore w:val="0"/>
        <w:widowControl w:val="0"/>
        <w:numPr>
          <w:ilvl w:val="0"/>
          <w:numId w:val="4"/>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享受门特待遇期间发生该疾病的普通门诊医疗费用；</w:t>
      </w:r>
    </w:p>
    <w:p w14:paraId="30CA959D">
      <w:pPr>
        <w:keepNext w:val="0"/>
        <w:keepLines w:val="0"/>
        <w:pageBreakBefore w:val="0"/>
        <w:widowControl w:val="0"/>
        <w:numPr>
          <w:ilvl w:val="0"/>
          <w:numId w:val="4"/>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已纳入基本医疗保险住院统筹基金结算的急诊、抢救医疗费用；</w:t>
      </w:r>
    </w:p>
    <w:p w14:paraId="4E026660">
      <w:pPr>
        <w:keepNext w:val="0"/>
        <w:keepLines w:val="0"/>
        <w:pageBreakBefore w:val="0"/>
        <w:widowControl w:val="0"/>
        <w:numPr>
          <w:ilvl w:val="0"/>
          <w:numId w:val="4"/>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住院期间发生的普通门诊医疗费用；</w:t>
      </w:r>
    </w:p>
    <w:p w14:paraId="11D111D8">
      <w:pPr>
        <w:keepNext w:val="0"/>
        <w:keepLines w:val="0"/>
        <w:pageBreakBefore w:val="0"/>
        <w:widowControl w:val="0"/>
        <w:numPr>
          <w:ilvl w:val="0"/>
          <w:numId w:val="4"/>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国家、省规定的基本医疗保险基金不予支付的其他费用。</w:t>
      </w:r>
    </w:p>
    <w:p w14:paraId="3D7715F6">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参保人发生的普通门诊医疗费用，属于应由个人支付部分的，由参保人与定点医疗机构直接结算；属于应由统筹基金支付的，由定点医疗机构向医保经办机构申报结算。</w:t>
      </w:r>
    </w:p>
    <w:p w14:paraId="560591FC">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center"/>
        <w:textAlignment w:val="baseline"/>
        <w:rPr>
          <w:rStyle w:val="17"/>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p>
    <w:p w14:paraId="4FCBCD79">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第二节 门诊特定病种</w:t>
      </w:r>
    </w:p>
    <w:p w14:paraId="54104F2C">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14:textFill>
            <w14:solidFill>
              <w14:schemeClr w14:val="tx1"/>
            </w14:solidFill>
          </w14:textFill>
        </w:rPr>
        <w:t>门诊特定病种（以下简称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门特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）是指诊断明确、病情相对稳定、需在门诊长期治疗或诊疗方案明确的疾病。门特医疗费用由医保统筹基金按规定支付。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我市</w:t>
      </w:r>
      <w:r>
        <w:rPr>
          <w:rFonts w:hint="eastAsia" w:ascii="Times New Roman" w:hAnsi="Times New Roman" w:eastAsia="仿宋_GB2312" w:cs="Times New Roman"/>
          <w:color w:val="000000" w:themeColor="text1"/>
          <w:sz w:val="32"/>
          <w:szCs w:val="32"/>
          <w:u w:val="none"/>
          <w14:textFill>
            <w14:solidFill>
              <w14:schemeClr w14:val="tx1"/>
            </w14:solidFill>
          </w14:textFill>
        </w:rPr>
        <w:t>建立</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门特</w:t>
      </w:r>
      <w:r>
        <w:rPr>
          <w:rFonts w:hint="eastAsia" w:ascii="Times New Roman" w:hAnsi="Times New Roman" w:eastAsia="仿宋_GB2312" w:cs="Times New Roman"/>
          <w:color w:val="000000" w:themeColor="text1"/>
          <w:sz w:val="32"/>
          <w:szCs w:val="32"/>
          <w:u w:val="none"/>
          <w14:textFill>
            <w14:solidFill>
              <w14:schemeClr w14:val="tx1"/>
            </w14:solidFill>
          </w14:textFill>
        </w:rPr>
        <w:t>制度，参保人患病在门诊治疗且病情达到特定病种鉴定标准的，经认定可享受</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门特</w:t>
      </w:r>
      <w:r>
        <w:rPr>
          <w:rFonts w:hint="eastAsia" w:ascii="Times New Roman" w:hAnsi="Times New Roman" w:eastAsia="仿宋_GB2312" w:cs="Times New Roman"/>
          <w:color w:val="000000" w:themeColor="text1"/>
          <w:sz w:val="32"/>
          <w:szCs w:val="32"/>
          <w:u w:val="none"/>
          <w14:textFill>
            <w14:solidFill>
              <w14:schemeClr w14:val="tx1"/>
            </w14:solidFill>
          </w14:textFill>
        </w:rPr>
        <w:t>待遇。</w:t>
      </w:r>
    </w:p>
    <w:p w14:paraId="39D4E0B3">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16" w:firstLineChars="200"/>
        <w:jc w:val="both"/>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Style w:val="17"/>
          <w:rFonts w:hint="eastAsia" w:ascii="Times New Roman" w:hAnsi="Times New Roman" w:eastAsia="黑体" w:cs="Times New Roman"/>
          <w:b w:val="0"/>
          <w:bCs/>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全市</w:t>
      </w:r>
      <w:r>
        <w:rPr>
          <w:rFonts w:hint="eastAsia" w:ascii="Times New Roman" w:hAnsi="Times New Roman" w:eastAsia="仿宋_GB2312" w:cs="Times New Roman"/>
          <w:color w:val="000000" w:themeColor="text1"/>
          <w:sz w:val="32"/>
          <w:szCs w:val="32"/>
          <w14:textFill>
            <w14:solidFill>
              <w14:schemeClr w14:val="tx1"/>
            </w14:solidFill>
          </w14:textFill>
        </w:rPr>
        <w:t>执行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省</w:t>
      </w:r>
      <w:r>
        <w:rPr>
          <w:rFonts w:hint="eastAsia" w:ascii="Times New Roman" w:hAnsi="Times New Roman" w:eastAsia="仿宋_GB2312" w:cs="Times New Roman"/>
          <w:color w:val="000000" w:themeColor="text1"/>
          <w:sz w:val="32"/>
          <w:szCs w:val="32"/>
          <w14:textFill>
            <w14:solidFill>
              <w14:schemeClr w14:val="tx1"/>
            </w14:solidFill>
          </w14:textFill>
        </w:rPr>
        <w:t>统一的门特范围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准入标准和待遇享受有效期按省医疗保障部门规定执行。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各病种名称、待遇标准、费用限额</w:t>
      </w:r>
      <w:r>
        <w:rPr>
          <w:rFonts w:hint="eastAsia" w:ascii="Times New Roman" w:hAnsi="Times New Roman" w:eastAsia="仿宋_GB2312" w:cs="Times New Roman"/>
          <w:color w:val="000000" w:themeColor="text1"/>
          <w:sz w:val="32"/>
          <w:szCs w:val="32"/>
          <w14:textFill>
            <w14:solidFill>
              <w14:schemeClr w14:val="tx1"/>
            </w14:solidFill>
          </w14:textFill>
        </w:rPr>
        <w:t>详见附件。</w:t>
      </w:r>
    </w:p>
    <w:p w14:paraId="6BB63333">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line="560" w:lineRule="exact"/>
        <w:ind w:left="0" w:leftChars="0" w:firstLine="616" w:firstLineChars="200"/>
        <w:jc w:val="both"/>
        <w:textAlignment w:val="auto"/>
        <w:rPr>
          <w:rFonts w:hint="eastAsia" w:ascii="Times New Roman" w:hAnsi="Times New Roman" w:eastAsia="仿宋_GB2312" w:cs="Times New Roman"/>
          <w:color w:val="000000" w:themeColor="text1"/>
          <w:kern w:val="0"/>
          <w:sz w:val="32"/>
          <w:szCs w:val="32"/>
          <w:highlight w:val="none"/>
          <w:u w:val="none"/>
          <w:lang w:val="en-US" w:eastAsia="zh-CN" w:bidi="ar"/>
          <w14:textFill>
            <w14:solidFill>
              <w14:schemeClr w14:val="tx1"/>
            </w14:solidFill>
          </w14:textFill>
        </w:rPr>
      </w:pPr>
      <w:r>
        <w:rPr>
          <w:rStyle w:val="17"/>
          <w:rFonts w:hint="eastAsia" w:ascii="Times New Roman" w:hAnsi="Times New Roman" w:eastAsia="黑体" w:cs="Times New Roman"/>
          <w:b w:val="0"/>
          <w:bCs/>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highlight w:val="none"/>
          <w:lang w:val="en-US" w:eastAsia="zh-CN" w:bidi="ar"/>
          <w14:textFill>
            <w14:solidFill>
              <w14:schemeClr w14:val="tx1"/>
            </w14:solidFill>
          </w14:textFill>
        </w:rPr>
        <w:t>门特不设起付标准，政策范围内支付比例按照住院标准执行（异地长期居住人员门特支付比例按市内住院支付比例执行）。</w:t>
      </w:r>
    </w:p>
    <w:p w14:paraId="600E3931">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line="560" w:lineRule="exact"/>
        <w:ind w:left="0" w:leftChars="0" w:firstLine="619"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Style w:val="17"/>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highlight w:val="none"/>
          <w:lang w:val="en-US" w:eastAsia="zh-CN" w:bidi="ar"/>
          <w14:textFill>
            <w14:solidFill>
              <w14:schemeClr w14:val="tx1"/>
            </w14:solidFill>
          </w14:textFill>
        </w:rPr>
        <w:t>门特病种限额详见附件，</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统筹基金支付金额计入参保人年度基本医疗保险最高支付限额。除不孕不育辅助生殖技术治疗外，参保人同时患有多个病种的，月度支付限额按照定额标准最高的病种定额计算，且单个病种支付限额不超过自身月度支付限额标准。支付限额当季有效，剩余额度季末清零。</w:t>
      </w:r>
    </w:p>
    <w:p w14:paraId="15BB65AF">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纳入门特病种范围的疾病治疗用药和诊疗项目必须与该疾病治疗相符合，不相符合的药品或诊疗项目费用不纳入统筹基金支付范围。参保人所发生的医疗费用经基本医疗保险支付后，其个人负担的合规医疗费用按规定纳入大病保险、医疗救助保障范围。</w:t>
      </w:r>
    </w:p>
    <w:p w14:paraId="32689BE9">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各级医保经办机构</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依定点医疗机构申请，</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从符合卫生健康部门核准的诊疗科目及诊疗技术资质等条件的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定点医疗机构中确定可开</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展相应门特诊断（病种认定）或治疗的医疗机构，并报辖属医疗保障部门备案，名单统一由市医保经办机构向社会公布。</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定点医疗机构门特服务病种资格条件详见附件。</w:t>
      </w:r>
    </w:p>
    <w:p w14:paraId="34A5ACEF">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门特实施病种资格认定和定点就医备案管理。参保人申请门特待遇应选择具备相应门特病种服务资格的医疗机构办理门特病种资格认定，医疗机构按照相应病种准入标准予以审核确认</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并将相关审核确认信息上传医保信息系统备案，参保人应选定2家符合条件的定点医疗机构作为本人门特就诊医疗机构并向医保经办机构进行备案。未按规定选定定点医疗机构或向医保经办部门备案的，统筹基金不予支付。既往已确诊的参保人员，办理病种资格认定的医疗机构可根据既往一年内化验单、诊断书等予以审核确认。确认时间即为</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参保人门特病种待遇享受开始时间。</w:t>
      </w:r>
    </w:p>
    <w:p w14:paraId="7CEA27E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选定的定点医疗机构原则上一年内不变更，参保人员确因病情需要及居住地迁移等情形需要变更选定医疗机构的，可向参保地医保经办机构申请办理变更手续。</w:t>
      </w:r>
    </w:p>
    <w:p w14:paraId="4710040C">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16" w:firstLineChars="200"/>
        <w:jc w:val="both"/>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Style w:val="17"/>
          <w:rFonts w:hint="eastAsia" w:ascii="Times New Roman" w:hAnsi="Times New Roman" w:eastAsia="黑体" w:cs="Times New Roman"/>
          <w:b w:val="0"/>
          <w:bCs/>
          <w:color w:val="000000" w:themeColor="text1"/>
          <w:kern w:val="0"/>
          <w:sz w:val="32"/>
          <w:szCs w:val="32"/>
          <w:lang w:val="en-US" w:eastAsia="zh-CN" w:bidi="ar"/>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参保人应在其相应门特待遇认定有效期届满前30日内申请办理续期，续期有效期自前一有效期届满当日起，按照自然日计算，到期自动终止。未按规定办理续期手续的参保人在前一有效期终止后30日内（含第30日）补办续期的，可继续享受待遇，续期有效期自前一有效期满后次日起，按照自然日计算，到期自动终止。</w:t>
      </w:r>
    </w:p>
    <w:p w14:paraId="57AB8AA1">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定点医疗机构按照因病施治、合理用药的原则，可根据病情需要将门特单次处方医保用药量延长到12周。</w:t>
      </w:r>
    </w:p>
    <w:p w14:paraId="28EB97E3">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16" w:firstLineChars="200"/>
        <w:jc w:val="both"/>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Style w:val="17"/>
          <w:rFonts w:hint="eastAsia" w:ascii="Times New Roman" w:hAnsi="Times New Roman" w:eastAsia="黑体" w:cs="Times New Roman"/>
          <w:b w:val="0"/>
          <w:bCs/>
          <w:color w:val="000000" w:themeColor="text1"/>
          <w:kern w:val="0"/>
          <w:sz w:val="32"/>
          <w:szCs w:val="32"/>
          <w:lang w:val="en-US" w:eastAsia="zh-CN" w:bidi="ar"/>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14:textFill>
            <w14:solidFill>
              <w14:schemeClr w14:val="tx1"/>
            </w14:solidFill>
          </w14:textFill>
        </w:rPr>
        <w:t>定点医药机构应当按规定为患者建立并妥善保存电子病历、在线电子处方、购药记录等信息，做到诊疗、处方、交易、配送可追溯、可监管。</w:t>
      </w:r>
    </w:p>
    <w:p w14:paraId="6C76AA37">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定点医疗机构违规为参保人员办理门特审核确认的，参保人员发生的相应门特费用，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基本医疗保险</w:t>
      </w:r>
      <w:r>
        <w:rPr>
          <w:rFonts w:hint="eastAsia" w:ascii="Times New Roman" w:hAnsi="Times New Roman" w:eastAsia="仿宋_GB2312" w:cs="Times New Roman"/>
          <w:color w:val="000000" w:themeColor="text1"/>
          <w:sz w:val="32"/>
          <w:szCs w:val="32"/>
          <w14:textFill>
            <w14:solidFill>
              <w14:schemeClr w14:val="tx1"/>
            </w14:solidFill>
          </w14:textFill>
        </w:rPr>
        <w:t>基金不予支付，由定点医疗机构承担。</w:t>
      </w:r>
    </w:p>
    <w:p w14:paraId="6B78E32E">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line="560" w:lineRule="exact"/>
        <w:ind w:left="0" w:leftChars="0" w:right="0" w:firstLine="643" w:firstLineChars="200"/>
        <w:jc w:val="center"/>
        <w:textAlignment w:val="baseline"/>
        <w:rPr>
          <w:rStyle w:val="17"/>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p>
    <w:p w14:paraId="2AAB8E9F">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第三节 住院保障</w:t>
      </w:r>
    </w:p>
    <w:p w14:paraId="4E04501F">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ascii="Times New Roman" w:hAnsi="Times New Roman" w:eastAsia="仿宋_GB2312" w:cs="Times New Roman"/>
          <w:color w:val="000000" w:themeColor="text1"/>
          <w:sz w:val="32"/>
          <w:szCs w:val="32"/>
          <w:u w:val="none"/>
          <w14:textFill>
            <w14:solidFill>
              <w14:schemeClr w14:val="tx1"/>
            </w14:solidFill>
          </w14:textFill>
        </w:rPr>
        <w:t>参保人员符合基本医疗保险基金支付范围的住院医疗费用</w:t>
      </w:r>
      <w:r>
        <w:rPr>
          <w:rFonts w:hint="eastAsia"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t>设起付标准、支付比例</w:t>
      </w: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w:t>
      </w:r>
      <w:r>
        <w:rPr>
          <w:rFonts w:hint="eastAsia"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t>最高支付限额</w:t>
      </w: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14:textFill>
            <w14:solidFill>
              <w14:schemeClr w14:val="tx1"/>
            </w14:solidFill>
          </w14:textFill>
        </w:rPr>
        <w:t>扣减住院</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报销</w:t>
      </w:r>
      <w:r>
        <w:rPr>
          <w:rFonts w:ascii="Times New Roman" w:hAnsi="Times New Roman" w:eastAsia="仿宋_GB2312" w:cs="Times New Roman"/>
          <w:color w:val="000000" w:themeColor="text1"/>
          <w:sz w:val="32"/>
          <w:szCs w:val="32"/>
          <w:u w:val="none"/>
          <w14:textFill>
            <w14:solidFill>
              <w14:schemeClr w14:val="tx1"/>
            </w14:solidFill>
          </w14:textFill>
        </w:rPr>
        <w:t>起付标准后按比例</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支付</w:t>
      </w:r>
      <w:r>
        <w:rPr>
          <w:rFonts w:ascii="Times New Roman" w:hAnsi="Times New Roman" w:eastAsia="仿宋_GB2312" w:cs="Times New Roman"/>
          <w:color w:val="000000" w:themeColor="text1"/>
          <w:sz w:val="32"/>
          <w:szCs w:val="32"/>
          <w:u w:val="none"/>
          <w14:textFill>
            <w14:solidFill>
              <w14:schemeClr w14:val="tx1"/>
            </w14:solidFill>
          </w14:textFill>
        </w:rPr>
        <w:t>。定点医疗机构等级变化后，收费标准未调整的，执行原起付标准。</w:t>
      </w:r>
    </w:p>
    <w:p w14:paraId="4CAE835B">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t xml:space="preserve"> 参保人住院就医起付标准如下：</w:t>
      </w:r>
    </w:p>
    <w:p w14:paraId="7F72D3AB">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职工、居民医保参保人员市</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内一级及以下医疗机构起付标准为300元；二级医疗机构为500元；三级医疗机构为700元；市外定点医疗机构起付标准统一为1200元。</w:t>
      </w:r>
    </w:p>
    <w:p w14:paraId="36884236">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t xml:space="preserve"> 参保人住院就医支付比例如下：</w:t>
      </w:r>
    </w:p>
    <w:p w14:paraId="25DDE1AA">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（一）职工医保参保人员在本市定点</w:t>
      </w:r>
      <w:r>
        <w:rPr>
          <w:rFonts w:hint="eastAsia"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t>医</w:t>
      </w: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疗机构支付比例统一为</w:t>
      </w:r>
      <w:r>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t>90%。</w:t>
      </w:r>
    </w:p>
    <w:p w14:paraId="530EA086">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t>（二）居民医保参保人员在本市一级及以下定点医疗机构支付比例为90%，二级为80%，三级为70%。</w:t>
      </w:r>
    </w:p>
    <w:p w14:paraId="6284A427">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（三）临时外出就医人员住院支付比例在市内标准基础上降低15个百分点。</w:t>
      </w:r>
    </w:p>
    <w:p w14:paraId="4DBE341C">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异地长期居住人员，可在备案地和参保地双向享受医保待遇。参保人员在参保地就医的按市内支付比例执行；在备案地就医的参照本市同级别医疗机构支付比例执行。其中参保人员以个人承诺方式办理异地就医备案手续的，可在备案后30日内（含）补齐相关有效备案材料，补齐后可在备案地和参保地双向享受医保待遇；30日内未补齐相关备案材料的，只保留备案地医保待遇，确需回参保地就医的，在取消异地就医备案后次日起可在参保地正常享受医保待遇。</w:t>
      </w:r>
    </w:p>
    <w:p w14:paraId="37AD3B6A">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caps w:val="0"/>
          <w:color w:val="000000" w:themeColor="text1"/>
          <w:spacing w:val="0"/>
          <w:kern w:val="2"/>
          <w:sz w:val="32"/>
          <w:szCs w:val="32"/>
          <w:highlight w:val="cyan"/>
          <w:u w:val="none"/>
          <w:shd w:val="clear" w:color="auto" w:fill="FFFFFF"/>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u w:val="none"/>
          <w14:textFill>
            <w14:solidFill>
              <w14:schemeClr w14:val="tx1"/>
            </w14:solidFill>
          </w14:textFill>
        </w:rPr>
        <w:t>对特殊病种</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在定点医疗机构就医发生的医疗费用给予倾斜。参保人员因</w:t>
      </w:r>
      <w:r>
        <w:rPr>
          <w:rFonts w:hint="eastAsia" w:ascii="Times New Roman" w:hAnsi="Times New Roman" w:eastAsia="仿宋_GB2312" w:cs="Times New Roman"/>
          <w:color w:val="000000" w:themeColor="text1"/>
          <w:sz w:val="32"/>
          <w:szCs w:val="32"/>
          <w:u w:val="none"/>
          <w14:textFill>
            <w14:solidFill>
              <w14:schemeClr w14:val="tx1"/>
            </w14:solidFill>
          </w14:textFill>
        </w:rPr>
        <w:t>恶性肿</w:t>
      </w:r>
      <w:r>
        <w:rPr>
          <w:rFonts w:hint="eastAsia" w:ascii="Times New Roman" w:hAnsi="Times New Roman" w:eastAsia="仿宋_GB2312" w:cs="Times New Roman"/>
          <w:color w:val="000000" w:themeColor="text1"/>
          <w:sz w:val="32"/>
          <w:szCs w:val="32"/>
          <w:highlight w:val="none"/>
          <w:u w:val="none"/>
          <w14:textFill>
            <w14:solidFill>
              <w14:schemeClr w14:val="tx1"/>
            </w14:solidFill>
          </w14:textFill>
        </w:rPr>
        <w:t>瘤、器官移植及器官移植后抗排斥治疗</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，在</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市内定点医疗机构住院的</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，职工医保支付比例统一为95%；居民医保支付比例为：一级90%，二级85%，三级80%。</w:t>
      </w:r>
    </w:p>
    <w:p w14:paraId="4EA02821">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caps w:val="0"/>
          <w:color w:val="000000" w:themeColor="text1"/>
          <w:spacing w:val="0"/>
          <w:kern w:val="2"/>
          <w:sz w:val="32"/>
          <w:szCs w:val="32"/>
          <w:highlight w:val="none"/>
          <w:u w:val="none"/>
          <w:shd w:val="clear" w:color="auto" w:fill="FFFFFF"/>
          <w:lang w:val="en-US" w:eastAsia="zh-CN" w:bidi="ar-SA"/>
          <w14:textFill>
            <w14:solidFill>
              <w14:schemeClr w14:val="tx1"/>
            </w14:solidFill>
          </w14:textFill>
        </w:rPr>
      </w:pPr>
      <w:r>
        <w:rPr>
          <w:rFonts w:hint="eastAsia" w:ascii="Times New Roman" w:hAnsi="Times New Roman" w:eastAsia="仿宋_GB2312" w:cs="Times New Roman"/>
          <w:i w:val="0"/>
          <w:caps w:val="0"/>
          <w:color w:val="000000" w:themeColor="text1"/>
          <w:spacing w:val="0"/>
          <w:kern w:val="2"/>
          <w:sz w:val="32"/>
          <w:szCs w:val="32"/>
          <w:highlight w:val="none"/>
          <w:u w:val="none"/>
          <w:shd w:val="clear" w:color="auto" w:fill="FFFFFF"/>
          <w:lang w:val="en-US" w:eastAsia="zh-CN" w:bidi="ar-SA"/>
          <w14:textFill>
            <w14:solidFill>
              <w14:schemeClr w14:val="tx1"/>
            </w14:solidFill>
          </w14:textFill>
        </w:rPr>
        <w:t>临时外出就医人员因恶性肿瘤、</w:t>
      </w:r>
      <w:r>
        <w:rPr>
          <w:rFonts w:hint="eastAsia" w:ascii="Times New Roman" w:hAnsi="Times New Roman" w:eastAsia="仿宋_GB2312" w:cs="Times New Roman"/>
          <w:color w:val="000000" w:themeColor="text1"/>
          <w:sz w:val="32"/>
          <w:szCs w:val="32"/>
          <w:highlight w:val="none"/>
          <w:u w:val="none"/>
          <w14:textFill>
            <w14:solidFill>
              <w14:schemeClr w14:val="tx1"/>
            </w14:solidFill>
          </w14:textFill>
        </w:rPr>
        <w:t>器官移植及器官移植后抗排斥治疗</w:t>
      </w:r>
      <w:r>
        <w:rPr>
          <w:rFonts w:hint="eastAsia" w:ascii="Times New Roman" w:hAnsi="Times New Roman" w:eastAsia="仿宋_GB2312" w:cs="Times New Roman"/>
          <w:i w:val="0"/>
          <w:caps w:val="0"/>
          <w:color w:val="000000" w:themeColor="text1"/>
          <w:spacing w:val="0"/>
          <w:kern w:val="2"/>
          <w:sz w:val="32"/>
          <w:szCs w:val="32"/>
          <w:highlight w:val="none"/>
          <w:u w:val="none"/>
          <w:shd w:val="clear" w:color="auto" w:fill="FFFFFF"/>
          <w:lang w:val="en-US" w:eastAsia="zh-CN" w:bidi="ar-SA"/>
          <w14:textFill>
            <w14:solidFill>
              <w14:schemeClr w14:val="tx1"/>
            </w14:solidFill>
          </w14:textFill>
        </w:rPr>
        <w:t>、儿童先天性心脏病、罕见病4类疾病及再生障碍性贫血、主动脉夹层A型、主动脉瓣狭窄、室间隔缺损4种特殊病种在异地定点医疗机构住院的，职工医保支付比例统一为80%；居民医保支付比例为：一级80%、二级70%、三级60%。</w:t>
      </w:r>
    </w:p>
    <w:p w14:paraId="7A50FBA1">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14:textFill>
            <w14:solidFill>
              <w14:schemeClr w14:val="tx1"/>
            </w14:solidFill>
          </w14:textFill>
        </w:rPr>
        <w:t>参保人员一个</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医保</w:t>
      </w:r>
      <w:r>
        <w:rPr>
          <w:rFonts w:hint="eastAsia" w:ascii="Times New Roman" w:hAnsi="Times New Roman" w:eastAsia="仿宋_GB2312" w:cs="Times New Roman"/>
          <w:color w:val="000000" w:themeColor="text1"/>
          <w:sz w:val="32"/>
          <w:szCs w:val="32"/>
          <w:u w:val="none"/>
          <w14:textFill>
            <w14:solidFill>
              <w14:schemeClr w14:val="tx1"/>
            </w14:solidFill>
          </w14:textFill>
        </w:rPr>
        <w:t>年度内累计发生</w:t>
      </w:r>
      <w:r>
        <w:rPr>
          <w:rFonts w:hint="eastAsia" w:cs="Times New Roman"/>
          <w:color w:val="000000" w:themeColor="text1"/>
          <w:sz w:val="32"/>
          <w:szCs w:val="32"/>
          <w:u w:val="none"/>
          <w:lang w:eastAsia="zh-CN"/>
          <w14:textFill>
            <w14:solidFill>
              <w14:schemeClr w14:val="tx1"/>
            </w14:solidFill>
          </w14:textFill>
        </w:rPr>
        <w:t>符合基本医疗保险基金支付范围</w:t>
      </w:r>
      <w:r>
        <w:rPr>
          <w:rFonts w:hint="eastAsia" w:ascii="Times New Roman" w:hAnsi="Times New Roman" w:eastAsia="仿宋_GB2312" w:cs="Times New Roman"/>
          <w:color w:val="000000" w:themeColor="text1"/>
          <w:sz w:val="32"/>
          <w:szCs w:val="32"/>
          <w:u w:val="none"/>
          <w14:textFill>
            <w14:solidFill>
              <w14:schemeClr w14:val="tx1"/>
            </w14:solidFill>
          </w14:textFill>
        </w:rPr>
        <w:t>的住院医疗费用（</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含门特费用），统筹基金最高支付限额30万元。</w:t>
      </w:r>
      <w:r>
        <w:rPr>
          <w:rFonts w:hint="eastAsia"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t>超基金最高支付限额部分进入</w:t>
      </w:r>
      <w:r>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t>大病保险</w:t>
      </w:r>
      <w:r>
        <w:rPr>
          <w:rFonts w:hint="eastAsia"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t>支付范围，由大</w:t>
      </w:r>
      <w:r>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t>病保险资金按</w:t>
      </w:r>
      <w:r>
        <w:rPr>
          <w:rFonts w:hint="eastAsia" w:ascii="Times New Roman" w:hAnsi="Times New Roman" w:eastAsia="仿宋_GB2312" w:cs="Times New Roman"/>
          <w:i w:val="0"/>
          <w:caps w:val="0"/>
          <w:color w:val="000000" w:themeColor="text1"/>
          <w:spacing w:val="0"/>
          <w:sz w:val="32"/>
          <w:szCs w:val="32"/>
          <w:u w:val="none"/>
          <w:shd w:val="clear" w:color="auto" w:fill="FFFFFF"/>
          <w14:textFill>
            <w14:solidFill>
              <w14:schemeClr w14:val="tx1"/>
            </w14:solidFill>
          </w14:textFill>
        </w:rPr>
        <w:t>比例支付。</w:t>
      </w:r>
    </w:p>
    <w:p w14:paraId="489279B9">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黑体" w:cs="Times New Roman"/>
          <w:b w:val="0"/>
          <w:bCs/>
          <w:color w:val="000000" w:themeColor="text1"/>
          <w:kern w:val="2"/>
          <w:sz w:val="32"/>
          <w:szCs w:val="32"/>
          <w:u w:val="none"/>
          <w:lang w:val="en-US" w:eastAsia="zh-CN" w:bidi="ar-SA"/>
          <w14:textFill>
            <w14:solidFill>
              <w14:schemeClr w14:val="tx1"/>
            </w14:solidFill>
          </w14:textFill>
        </w:rPr>
        <w:t xml:space="preserve"> </w:t>
      </w:r>
      <w:r>
        <w:rPr>
          <w:rFonts w:ascii="Times New Roman" w:hAnsi="Times New Roman" w:eastAsia="仿宋_GB2312" w:cs="Times New Roman"/>
          <w:color w:val="000000" w:themeColor="text1"/>
          <w:sz w:val="32"/>
          <w:szCs w:val="32"/>
          <w:u w:val="none"/>
          <w14:textFill>
            <w14:solidFill>
              <w14:schemeClr w14:val="tx1"/>
            </w14:solidFill>
          </w14:textFill>
        </w:rPr>
        <w:t>参保人员因</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门（</w:t>
      </w:r>
      <w:r>
        <w:rPr>
          <w:rFonts w:ascii="Times New Roman" w:hAnsi="Times New Roman" w:eastAsia="仿宋_GB2312" w:cs="Times New Roman"/>
          <w:color w:val="000000" w:themeColor="text1"/>
          <w:sz w:val="32"/>
          <w:szCs w:val="32"/>
          <w:u w:val="none"/>
          <w14:textFill>
            <w14:solidFill>
              <w14:schemeClr w14:val="tx1"/>
            </w14:solidFill>
          </w14:textFill>
        </w:rPr>
        <w:t>急</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14:textFill>
            <w14:solidFill>
              <w14:schemeClr w14:val="tx1"/>
            </w14:solidFill>
          </w14:textFill>
        </w:rPr>
        <w:t>诊、抢救、日间手术</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且当日（</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24小时</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）收治入院</w:t>
      </w:r>
      <w:r>
        <w:rPr>
          <w:rFonts w:ascii="Times New Roman" w:hAnsi="Times New Roman" w:eastAsia="仿宋_GB2312" w:cs="Times New Roman"/>
          <w:color w:val="000000" w:themeColor="text1"/>
          <w:sz w:val="32"/>
          <w:szCs w:val="32"/>
          <w:u w:val="none"/>
          <w14:textFill>
            <w14:solidFill>
              <w14:schemeClr w14:val="tx1"/>
            </w14:solidFill>
          </w14:textFill>
        </w:rPr>
        <w:t>发生的符合基本医疗保险基金支付范围内的门（急）诊医疗费用纳入住院医疗费用报销。</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在门（急）诊抢救无效死亡的，参照住院支付标准执行。</w:t>
      </w:r>
    </w:p>
    <w:p w14:paraId="499C2CC0">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p>
    <w:p w14:paraId="32E0C9FA">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第四节 大病保障</w:t>
      </w:r>
    </w:p>
    <w:p w14:paraId="7118D490">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参加本市基本医疗保险的用人单位和参保人员同步参加</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大病保险</w:t>
      </w:r>
      <w:r>
        <w:rPr>
          <w:rFonts w:ascii="Times New Roman" w:hAnsi="Times New Roman" w:eastAsia="仿宋_GB2312" w:cs="Times New Roman"/>
          <w:color w:val="000000" w:themeColor="text1"/>
          <w:sz w:val="32"/>
          <w:szCs w:val="32"/>
          <w:u w:val="none"/>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保费按照如下方式筹集：</w:t>
      </w:r>
    </w:p>
    <w:p w14:paraId="372DED36">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职工</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大病保险</w:t>
      </w:r>
      <w:r>
        <w:rPr>
          <w:rFonts w:ascii="Times New Roman" w:hAnsi="Times New Roman" w:eastAsia="仿宋_GB2312" w:cs="Times New Roman"/>
          <w:color w:val="000000" w:themeColor="text1"/>
          <w:sz w:val="32"/>
          <w:szCs w:val="32"/>
          <w:u w:val="none"/>
          <w14:textFill>
            <w14:solidFill>
              <w14:schemeClr w14:val="tx1"/>
            </w14:solidFill>
          </w14:textFill>
        </w:rPr>
        <w:t>费，</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由</w:t>
      </w:r>
      <w:r>
        <w:rPr>
          <w:rFonts w:ascii="Times New Roman" w:hAnsi="Times New Roman" w:eastAsia="仿宋_GB2312" w:cs="Times New Roman"/>
          <w:color w:val="000000" w:themeColor="text1"/>
          <w:sz w:val="32"/>
          <w:szCs w:val="32"/>
          <w:u w:val="none"/>
          <w14:textFill>
            <w14:solidFill>
              <w14:schemeClr w14:val="tx1"/>
            </w14:solidFill>
          </w14:textFill>
        </w:rPr>
        <w:t>单位按本单位</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参保</w:t>
      </w:r>
      <w:r>
        <w:rPr>
          <w:rFonts w:ascii="Times New Roman" w:hAnsi="Times New Roman" w:eastAsia="仿宋_GB2312" w:cs="Times New Roman"/>
          <w:color w:val="000000" w:themeColor="text1"/>
          <w:sz w:val="32"/>
          <w:szCs w:val="32"/>
          <w:u w:val="none"/>
          <w14:textFill>
            <w14:solidFill>
              <w14:schemeClr w14:val="tx1"/>
            </w14:solidFill>
          </w14:textFill>
        </w:rPr>
        <w:t>职工（含</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缴费累计未达规定年限的</w:t>
      </w:r>
      <w:r>
        <w:rPr>
          <w:rFonts w:ascii="Times New Roman" w:hAnsi="Times New Roman" w:eastAsia="仿宋_GB2312" w:cs="Times New Roman"/>
          <w:color w:val="000000" w:themeColor="text1"/>
          <w:sz w:val="32"/>
          <w:szCs w:val="32"/>
          <w:u w:val="none"/>
          <w14:textFill>
            <w14:solidFill>
              <w14:schemeClr w14:val="tx1"/>
            </w14:solidFill>
          </w14:textFill>
        </w:rPr>
        <w:t>退休职工）</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人数</w:t>
      </w:r>
      <w:r>
        <w:rPr>
          <w:rFonts w:ascii="Times New Roman" w:hAnsi="Times New Roman" w:eastAsia="仿宋_GB2312" w:cs="Times New Roman"/>
          <w:color w:val="000000" w:themeColor="text1"/>
          <w:sz w:val="32"/>
          <w:szCs w:val="32"/>
          <w:u w:val="none"/>
          <w14:textFill>
            <w14:solidFill>
              <w14:schemeClr w14:val="tx1"/>
            </w14:solidFill>
          </w14:textFill>
        </w:rPr>
        <w:t>缴纳</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14:textFill>
            <w14:solidFill>
              <w14:schemeClr w14:val="tx1"/>
            </w14:solidFill>
          </w14:textFill>
        </w:rPr>
        <w:t>在申报缴纳</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职工医保</w:t>
      </w:r>
      <w:r>
        <w:rPr>
          <w:rFonts w:ascii="Times New Roman" w:hAnsi="Times New Roman" w:eastAsia="仿宋_GB2312" w:cs="Times New Roman"/>
          <w:color w:val="000000" w:themeColor="text1"/>
          <w:sz w:val="32"/>
          <w:szCs w:val="32"/>
          <w:u w:val="none"/>
          <w14:textFill>
            <w14:solidFill>
              <w14:schemeClr w14:val="tx1"/>
            </w14:solidFill>
          </w14:textFill>
        </w:rPr>
        <w:t>费时一并申报缴纳。</w:t>
      </w:r>
    </w:p>
    <w:p w14:paraId="0FEE6CAF">
      <w:pPr>
        <w:pStyle w:val="2"/>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困难企业人员及</w:t>
      </w:r>
      <w:r>
        <w:rPr>
          <w:rFonts w:hint="eastAsia"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缴费累计达到</w:t>
      </w:r>
      <w:r>
        <w:rPr>
          <w:rFonts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规定年限的</w:t>
      </w:r>
      <w:r>
        <w:rPr>
          <w:rFonts w:hint="eastAsia" w:ascii="Times New Roman" w:hAnsi="Times New Roman" w:eastAsia="仿宋_GB2312" w:cs="Times New Roman"/>
          <w:strike w:val="0"/>
          <w:color w:val="000000" w:themeColor="text1"/>
          <w:sz w:val="32"/>
          <w:szCs w:val="32"/>
          <w:highlight w:val="none"/>
          <w:u w:val="none"/>
          <w:lang w:eastAsia="zh-CN"/>
          <w14:textFill>
            <w14:solidFill>
              <w14:schemeClr w14:val="tx1"/>
            </w14:solidFill>
          </w14:textFill>
        </w:rPr>
        <w:t>退休人员</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保费由基本医疗保险基金支付。</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因工致残被鉴定为一级至四级伤残的工伤职工保费由原用人单位或工伤保险基金支付。</w:t>
      </w:r>
    </w:p>
    <w:p w14:paraId="6BF67A21">
      <w:pPr>
        <w:pStyle w:val="2"/>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灵活就业人员</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和领取失业保险金的人员保费</w:t>
      </w:r>
      <w:r>
        <w:rPr>
          <w:rFonts w:ascii="Times New Roman" w:hAnsi="Times New Roman" w:eastAsia="仿宋_GB2312" w:cs="Times New Roman"/>
          <w:color w:val="000000" w:themeColor="text1"/>
          <w:sz w:val="32"/>
          <w:szCs w:val="32"/>
          <w:u w:val="none"/>
          <w14:textFill>
            <w14:solidFill>
              <w14:schemeClr w14:val="tx1"/>
            </w14:solidFill>
          </w14:textFill>
        </w:rPr>
        <w:t>由个人自行缴纳</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p>
    <w:p w14:paraId="1150B17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城乡居民大病保险保费由基本医疗保险基金支付。</w:t>
      </w:r>
    </w:p>
    <w:p w14:paraId="1E8BB070">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普通参保人大病保险起付标准为</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1万元，困难群众起付标准为2000元</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，起付标准逐步向我市上年度居民人均可支配收入靠拢。一个</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医保</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年度内，参保人超过统筹基金起付标准部分的医疗费用，经基本医保报销后，个人年度累计自付的医保政策范围内费用</w:t>
      </w:r>
      <w:r>
        <w:rPr>
          <w:rFonts w:hint="default" w:ascii="Times New Roman" w:hAnsi="Times New Roman" w:eastAsia="仿宋_GB2312" w:cs="Times New Roman"/>
          <w:color w:val="000000" w:themeColor="text1"/>
          <w:sz w:val="32"/>
          <w:szCs w:val="32"/>
          <w:u w:val="none"/>
          <w14:textFill>
            <w14:solidFill>
              <w14:schemeClr w14:val="tx1"/>
            </w14:solidFill>
          </w14:textFill>
        </w:rPr>
        <w:t>（包括统筹基金年度累计支付限额内应由个人</w:t>
      </w:r>
      <w:r>
        <w:rPr>
          <w:rFonts w:hint="default"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支付的住院费用、超过统筹基金年度累计支付限额的住院费用）</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超过对应大病保险起付标准的部分，由大病保险</w:t>
      </w:r>
      <w:r>
        <w:rPr>
          <w:rFonts w:hint="eastAsia" w:cs="Times New Roman"/>
          <w:color w:val="000000" w:themeColor="text1"/>
          <w:sz w:val="32"/>
          <w:szCs w:val="32"/>
          <w:u w:val="none"/>
          <w:lang w:eastAsia="zh-CN"/>
          <w14:textFill>
            <w14:solidFill>
              <w14:schemeClr w14:val="tx1"/>
            </w14:solidFill>
          </w14:textFill>
        </w:rPr>
        <w:t>资</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金按以下标准赔付：</w:t>
      </w:r>
    </w:p>
    <w:p w14:paraId="6644B63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（一）职工医保参保人员在市内定点医疗机构</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就医</w:t>
      </w: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的，</w:t>
      </w:r>
      <w:r>
        <w:rPr>
          <w:rFonts w:hint="eastAsia" w:ascii="Times New Roman" w:hAnsi="Times New Roman" w:eastAsia="仿宋_GB2312" w:cs="Times New Roman"/>
          <w:i w:val="0"/>
          <w:iCs w:val="0"/>
          <w:caps w:val="0"/>
          <w:color w:val="000000" w:themeColor="text1"/>
          <w:spacing w:val="0"/>
          <w:sz w:val="32"/>
          <w:szCs w:val="32"/>
          <w:u w:val="none"/>
          <w:shd w:val="clear" w:color="auto" w:fill="FFFFFF"/>
          <w14:textFill>
            <w14:solidFill>
              <w14:schemeClr w14:val="tx1"/>
            </w14:solidFill>
          </w14:textFill>
        </w:rPr>
        <w:t>累计超过起付标准</w:t>
      </w:r>
      <w:r>
        <w:rPr>
          <w:rFonts w:hint="eastAsia" w:ascii="Times New Roman" w:hAnsi="Times New Roman" w:eastAsia="仿宋_GB2312" w:cs="Times New Roman"/>
          <w:i w:val="0"/>
          <w:iCs w:val="0"/>
          <w:caps w:val="0"/>
          <w:color w:val="000000" w:themeColor="text1"/>
          <w:spacing w:val="0"/>
          <w:sz w:val="32"/>
          <w:szCs w:val="32"/>
          <w:u w:val="none"/>
          <w:shd w:val="clear" w:color="auto" w:fill="FFFFFF"/>
          <w:lang w:eastAsia="zh-CN"/>
          <w14:textFill>
            <w14:solidFill>
              <w14:schemeClr w14:val="tx1"/>
            </w14:solidFill>
          </w14:textFill>
        </w:rPr>
        <w:t>以上</w:t>
      </w:r>
      <w:r>
        <w:rPr>
          <w:rFonts w:hint="eastAsia" w:ascii="Times New Roman" w:hAnsi="Times New Roman" w:eastAsia="仿宋_GB2312" w:cs="Times New Roman"/>
          <w:i w:val="0"/>
          <w:iCs w:val="0"/>
          <w:caps w:val="0"/>
          <w:color w:val="000000" w:themeColor="text1"/>
          <w:spacing w:val="0"/>
          <w:sz w:val="32"/>
          <w:szCs w:val="32"/>
          <w:u w:val="none"/>
          <w:shd w:val="clear" w:color="auto" w:fill="FFFFFF"/>
          <w14:textFill>
            <w14:solidFill>
              <w14:schemeClr w14:val="tx1"/>
            </w14:solidFill>
          </w14:textFill>
        </w:rPr>
        <w:t>部分，由大病保险承办机构支付</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90%</w:t>
      </w:r>
      <w:r>
        <w:rPr>
          <w:rFonts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年度累计支付限额为40万元</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（限住院、门特及其他国家、省、市规定纳入大病保险支付范围的费用）</w:t>
      </w:r>
      <w:r>
        <w:rPr>
          <w:rFonts w:hint="eastAsia" w:ascii="Times New Roman" w:hAnsi="Times New Roman" w:eastAsia="仿宋_GB2312" w:cs="Times New Roman"/>
          <w:i w:val="0"/>
          <w:iCs w:val="0"/>
          <w:caps w:val="0"/>
          <w:color w:val="000000" w:themeColor="text1"/>
          <w:spacing w:val="0"/>
          <w:sz w:val="32"/>
          <w:szCs w:val="32"/>
          <w:shd w:val="clear" w:color="auto" w:fill="FFFFFF"/>
          <w14:textFill>
            <w14:solidFill>
              <w14:schemeClr w14:val="tx1"/>
            </w14:solidFill>
          </w14:textFill>
        </w:rPr>
        <w:t>。</w:t>
      </w:r>
    </w:p>
    <w:p w14:paraId="4BEFB5C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（二）居民医保参保人员</w:t>
      </w:r>
      <w:r>
        <w:rPr>
          <w:rFonts w:hint="default"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在</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市内</w:t>
      </w:r>
      <w:r>
        <w:rPr>
          <w:rFonts w:hint="default"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定点医疗机</w:t>
      </w:r>
      <w:r>
        <w:rPr>
          <w:rFonts w:hint="default" w:ascii="Times New Roman" w:hAnsi="Times New Roman" w:eastAsia="仿宋_GB2312" w:cs="Times New Roman"/>
          <w:i w:val="0"/>
          <w:iCs w:val="0"/>
          <w:caps w:val="0"/>
          <w:color w:val="000000" w:themeColor="text1"/>
          <w:spacing w:val="0"/>
          <w:sz w:val="32"/>
          <w:szCs w:val="32"/>
          <w:u w:val="none"/>
          <w:shd w:val="clear" w:color="auto" w:fill="FFFFFF"/>
          <w:lang w:val="en-US" w:eastAsia="zh-CN"/>
          <w14:textFill>
            <w14:solidFill>
              <w14:schemeClr w14:val="tx1"/>
            </w14:solidFill>
          </w14:textFill>
        </w:rPr>
        <w:t>构</w:t>
      </w:r>
      <w:r>
        <w:rPr>
          <w:rFonts w:hint="eastAsia" w:ascii="Times New Roman" w:hAnsi="Times New Roman" w:eastAsia="仿宋_GB2312" w:cs="Times New Roman"/>
          <w:i w:val="0"/>
          <w:iCs w:val="0"/>
          <w:caps w:val="0"/>
          <w:color w:val="000000" w:themeColor="text1"/>
          <w:spacing w:val="0"/>
          <w:sz w:val="32"/>
          <w:szCs w:val="32"/>
          <w:u w:val="none"/>
          <w:shd w:val="clear" w:color="auto" w:fill="FFFFFF"/>
          <w:lang w:val="en-US" w:eastAsia="zh-CN"/>
          <w14:textFill>
            <w14:solidFill>
              <w14:schemeClr w14:val="tx1"/>
            </w14:solidFill>
          </w14:textFill>
        </w:rPr>
        <w:t>就医</w:t>
      </w:r>
      <w:r>
        <w:rPr>
          <w:rFonts w:hint="default"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的，</w:t>
      </w:r>
      <w:r>
        <w:rPr>
          <w:rFonts w:hint="eastAsia" w:ascii="Times New Roman" w:hAnsi="Times New Roman" w:eastAsia="仿宋_GB2312" w:cs="Times New Roman"/>
          <w:i w:val="0"/>
          <w:iCs w:val="0"/>
          <w:caps w:val="0"/>
          <w:color w:val="000000" w:themeColor="text1"/>
          <w:spacing w:val="0"/>
          <w:sz w:val="32"/>
          <w:szCs w:val="32"/>
          <w:u w:val="none"/>
          <w:shd w:val="clear" w:color="auto" w:fill="FFFFFF"/>
          <w14:textFill>
            <w14:solidFill>
              <w14:schemeClr w14:val="tx1"/>
            </w14:solidFill>
          </w14:textFill>
        </w:rPr>
        <w:t>累计超过起付标准至10万元</w:t>
      </w:r>
      <w:r>
        <w:rPr>
          <w:rFonts w:hint="eastAsia" w:ascii="Times New Roman" w:hAnsi="Times New Roman" w:eastAsia="仿宋_GB2312" w:cs="Times New Roman"/>
          <w:i w:val="0"/>
          <w:iCs w:val="0"/>
          <w:caps w:val="0"/>
          <w:color w:val="000000" w:themeColor="text1"/>
          <w:spacing w:val="0"/>
          <w:sz w:val="32"/>
          <w:szCs w:val="32"/>
          <w:u w:val="none"/>
          <w:shd w:val="clear" w:color="auto" w:fill="FFFFFF"/>
          <w:lang w:eastAsia="zh-CN"/>
          <w14:textFill>
            <w14:solidFill>
              <w14:schemeClr w14:val="tx1"/>
            </w14:solidFill>
          </w14:textFill>
        </w:rPr>
        <w:t>（含）</w:t>
      </w:r>
      <w:r>
        <w:rPr>
          <w:rFonts w:hint="eastAsia" w:ascii="Times New Roman" w:hAnsi="Times New Roman" w:eastAsia="仿宋_GB2312" w:cs="Times New Roman"/>
          <w:i w:val="0"/>
          <w:iCs w:val="0"/>
          <w:caps w:val="0"/>
          <w:color w:val="000000" w:themeColor="text1"/>
          <w:spacing w:val="0"/>
          <w:sz w:val="32"/>
          <w:szCs w:val="32"/>
          <w:u w:val="none"/>
          <w:shd w:val="clear" w:color="auto" w:fill="FFFFFF"/>
          <w14:textFill>
            <w14:solidFill>
              <w14:schemeClr w14:val="tx1"/>
            </w14:solidFill>
          </w14:textFill>
        </w:rPr>
        <w:t>以内的部分，由大病保险承办机构支付</w:t>
      </w:r>
      <w:r>
        <w:rPr>
          <w:rFonts w:hint="eastAsia" w:ascii="Times New Roman" w:hAnsi="Times New Roman" w:eastAsia="仿宋_GB2312" w:cs="Times New Roman"/>
          <w:i w:val="0"/>
          <w:iCs w:val="0"/>
          <w:caps w:val="0"/>
          <w:color w:val="000000" w:themeColor="text1"/>
          <w:spacing w:val="0"/>
          <w:sz w:val="32"/>
          <w:szCs w:val="32"/>
          <w:u w:val="none"/>
          <w:shd w:val="clear" w:color="auto" w:fill="FFFFFF"/>
          <w:lang w:val="en-US" w:eastAsia="zh-CN"/>
          <w14:textFill>
            <w14:solidFill>
              <w14:schemeClr w14:val="tx1"/>
            </w14:solidFill>
          </w14:textFill>
        </w:rPr>
        <w:t>65</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shd w:val="clear" w:color="auto" w:fill="FFFFFF"/>
          <w14:textFill>
            <w14:solidFill>
              <w14:schemeClr w14:val="tx1"/>
            </w14:solidFill>
          </w14:textFill>
        </w:rPr>
        <w:t>；累计超过10万元至20万元</w:t>
      </w:r>
      <w:r>
        <w:rPr>
          <w:rFonts w:hint="eastAsia" w:ascii="Times New Roman" w:hAnsi="Times New Roman" w:eastAsia="仿宋_GB2312" w:cs="Times New Roman"/>
          <w:i w:val="0"/>
          <w:iCs w:val="0"/>
          <w:caps w:val="0"/>
          <w:color w:val="000000" w:themeColor="text1"/>
          <w:spacing w:val="0"/>
          <w:sz w:val="32"/>
          <w:szCs w:val="32"/>
          <w:u w:val="none"/>
          <w:shd w:val="clear" w:color="auto" w:fill="FFFFFF"/>
          <w:lang w:eastAsia="zh-CN"/>
          <w14:textFill>
            <w14:solidFill>
              <w14:schemeClr w14:val="tx1"/>
            </w14:solidFill>
          </w14:textFill>
        </w:rPr>
        <w:t>（含）</w:t>
      </w:r>
      <w:r>
        <w:rPr>
          <w:rFonts w:hint="eastAsia" w:ascii="Times New Roman" w:hAnsi="Times New Roman" w:eastAsia="仿宋_GB2312" w:cs="Times New Roman"/>
          <w:i w:val="0"/>
          <w:iCs w:val="0"/>
          <w:caps w:val="0"/>
          <w:color w:val="000000" w:themeColor="text1"/>
          <w:spacing w:val="0"/>
          <w:sz w:val="32"/>
          <w:szCs w:val="32"/>
          <w:u w:val="none"/>
          <w:shd w:val="clear" w:color="auto" w:fill="FFFFFF"/>
          <w14:textFill>
            <w14:solidFill>
              <w14:schemeClr w14:val="tx1"/>
            </w14:solidFill>
          </w14:textFill>
        </w:rPr>
        <w:t>以内的部分，由大病保险承办机构支付</w:t>
      </w:r>
      <w:r>
        <w:rPr>
          <w:rFonts w:hint="eastAsia" w:ascii="Times New Roman" w:hAnsi="Times New Roman" w:eastAsia="仿宋_GB2312" w:cs="Times New Roman"/>
          <w:i w:val="0"/>
          <w:iCs w:val="0"/>
          <w:caps w:val="0"/>
          <w:color w:val="000000" w:themeColor="text1"/>
          <w:spacing w:val="0"/>
          <w:sz w:val="32"/>
          <w:szCs w:val="32"/>
          <w:u w:val="none"/>
          <w:shd w:val="clear" w:color="auto" w:fill="FFFFFF"/>
          <w:lang w:val="en-US" w:eastAsia="zh-CN"/>
          <w14:textFill>
            <w14:solidFill>
              <w14:schemeClr w14:val="tx1"/>
            </w14:solidFill>
          </w14:textFill>
        </w:rPr>
        <w:t>70</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shd w:val="clear" w:color="auto" w:fill="FFFFFF"/>
          <w14:textFill>
            <w14:solidFill>
              <w14:schemeClr w14:val="tx1"/>
            </w14:solidFill>
          </w14:textFill>
        </w:rPr>
        <w:t>；累计超过20万元的部分，由大病保险承办机构支付</w:t>
      </w:r>
      <w:r>
        <w:rPr>
          <w:rFonts w:hint="eastAsia" w:ascii="Times New Roman" w:hAnsi="Times New Roman" w:eastAsia="仿宋_GB2312" w:cs="Times New Roman"/>
          <w:i w:val="0"/>
          <w:iCs w:val="0"/>
          <w:caps w:val="0"/>
          <w:color w:val="000000" w:themeColor="text1"/>
          <w:spacing w:val="0"/>
          <w:sz w:val="32"/>
          <w:szCs w:val="32"/>
          <w:u w:val="none"/>
          <w:shd w:val="clear" w:color="auto" w:fill="FFFFFF"/>
          <w:lang w:val="en-US" w:eastAsia="zh-CN"/>
          <w14:textFill>
            <w14:solidFill>
              <w14:schemeClr w14:val="tx1"/>
            </w14:solidFill>
          </w14:textFill>
        </w:rPr>
        <w:t>75</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年度累计支付限额为25万元</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（限住院、门特及其他国家、省、市规定纳入大病保险支付范围的费用）</w:t>
      </w: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w:t>
      </w:r>
    </w:p>
    <w:p w14:paraId="353EA03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（三）</w:t>
      </w:r>
      <w:r>
        <w:rPr>
          <w:rFonts w:hint="eastAsia" w:ascii="Times New Roman" w:hAnsi="Times New Roman" w:eastAsia="仿宋_GB2312" w:cs="Times New Roman"/>
          <w:i w:val="0"/>
          <w:caps w:val="0"/>
          <w:color w:val="000000" w:themeColor="text1"/>
          <w:spacing w:val="0"/>
          <w:sz w:val="32"/>
          <w:szCs w:val="32"/>
          <w:u w:val="none"/>
          <w:shd w:val="clear" w:color="auto" w:fill="FFFFFF"/>
          <w:lang w:val="en-US" w:eastAsia="zh-CN"/>
          <w14:textFill>
            <w14:solidFill>
              <w14:schemeClr w14:val="tx1"/>
            </w14:solidFill>
          </w14:textFill>
        </w:rPr>
        <w:t>参加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居民医保</w:t>
      </w:r>
      <w:r>
        <w:rPr>
          <w:rFonts w:hint="eastAsia" w:ascii="Times New Roman" w:hAnsi="Times New Roman" w:eastAsia="仿宋_GB2312" w:cs="Times New Roman"/>
          <w:i w:val="0"/>
          <w:caps w:val="0"/>
          <w:color w:val="000000" w:themeColor="text1"/>
          <w:spacing w:val="0"/>
          <w:sz w:val="32"/>
          <w:szCs w:val="32"/>
          <w:u w:val="none"/>
          <w:shd w:val="clear" w:color="auto" w:fill="FFFFFF"/>
          <w:lang w:eastAsia="zh-CN"/>
          <w14:textFill>
            <w14:solidFill>
              <w14:schemeClr w14:val="tx1"/>
            </w14:solidFill>
          </w14:textFill>
        </w:rPr>
        <w:t>困难群众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的大病保险支付比例为80%（不分市内、异地就医），参加职工医保困难群众的支付比例为市内95%，异地就医90%，均不设年度最高支付限额（限住院、门特及其他国家、省、市</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规定纳入大病保险支付范围的费用）</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14:paraId="476C3481">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（四）临时外出就医人员大病保险支付比例在市内标准基础上降低10个百分点。</w:t>
      </w:r>
    </w:p>
    <w:p w14:paraId="68482090">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异地长期居住人员，可在参保地和备案地双向享受医保待遇。</w:t>
      </w:r>
      <w:r>
        <w:rPr>
          <w:rFonts w:hint="eastAsia" w:ascii="Times New Roman" w:hAnsi="Times New Roman" w:eastAsia="仿宋_GB2312" w:cs="Times New Roman"/>
          <w:color w:val="000000" w:themeColor="text1"/>
          <w:sz w:val="32"/>
          <w:szCs w:val="32"/>
          <w:u w:val="none"/>
          <w:shd w:val="clear" w:color="auto" w:fill="auto"/>
          <w:lang w:val="en-US" w:eastAsia="zh-CN"/>
          <w14:textFill>
            <w14:solidFill>
              <w14:schemeClr w14:val="tx1"/>
            </w14:solidFill>
          </w14:textFill>
        </w:rPr>
        <w:t>参保人员在参保地就医的按市内支付比例执行，在备案地就医的参照</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本市同级别医疗机构支付比例执行</w:t>
      </w:r>
      <w:r>
        <w:rPr>
          <w:rFonts w:hint="eastAsia" w:ascii="Times New Roman" w:hAnsi="Times New Roman" w:eastAsia="仿宋_GB2312" w:cs="Times New Roman"/>
          <w:color w:val="000000" w:themeColor="text1"/>
          <w:sz w:val="32"/>
          <w:szCs w:val="32"/>
          <w:u w:val="none"/>
          <w:shd w:val="clear" w:color="auto" w:fill="auto"/>
          <w:lang w:val="en-US" w:eastAsia="zh-CN"/>
          <w14:textFill>
            <w14:solidFill>
              <w14:schemeClr w14:val="tx1"/>
            </w14:solidFill>
          </w14:textFill>
        </w:rPr>
        <w:t>。其中</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参保人员以个人承诺方式办理异地就医备案手续的</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，可在备案后30日内（含）补齐相关有效备案材料，补齐后可在备案地和参保地双向享受医保待遇</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；30日内未补齐相关备案材料的，只保留备案地医保待遇，确需回参保地就医的，在取消异地就医备案后次日起可在参保地正常享受医保待遇。</w:t>
      </w:r>
    </w:p>
    <w:p w14:paraId="7ED7F9FD">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b/>
          <w:bCs w:val="0"/>
          <w:snapToGrid w:val="0"/>
          <w:color w:val="000000" w:themeColor="text1"/>
          <w:sz w:val="32"/>
          <w:szCs w:val="32"/>
          <w:u w:val="none"/>
          <w:lang w:val="en-US" w:eastAsia="zh-CN" w:bidi="ar-SA"/>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对当年基本医疗保险基金零报销且次年正常参保缴费的居民医保参保人员，次年提高大病保险最高支付限额3800元。对连续参加居民医保满4年的参保人员，之后每连续参保1年，提高居民大病保险最高支付限额3800元。连续参保激励及零报销激励累计提高总额不超过5万元。</w:t>
      </w:r>
    </w:p>
    <w:p w14:paraId="0415A417">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参保居民发生大病报销并使用奖励额度后，前期积累的零报销激励额度清零。断保之后再次参保的，连续参保年数重新计算，前期积累的奖励额度继续保留。</w:t>
      </w:r>
    </w:p>
    <w:p w14:paraId="6CF6EB0D">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大病保险</w:t>
      </w:r>
      <w:r>
        <w:rPr>
          <w:rFonts w:ascii="Times New Roman" w:hAnsi="Times New Roman" w:eastAsia="仿宋_GB2312" w:cs="Times New Roman"/>
          <w:color w:val="000000" w:themeColor="text1"/>
          <w:sz w:val="32"/>
          <w:szCs w:val="32"/>
          <w:u w:val="none"/>
          <w14:textFill>
            <w14:solidFill>
              <w14:schemeClr w14:val="tx1"/>
            </w14:solidFill>
          </w14:textFill>
        </w:rPr>
        <w:t>保险期限、中断缴费、待遇等待期</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等</w:t>
      </w:r>
      <w:r>
        <w:rPr>
          <w:rFonts w:ascii="Times New Roman" w:hAnsi="Times New Roman" w:eastAsia="仿宋_GB2312" w:cs="Times New Roman"/>
          <w:color w:val="000000" w:themeColor="text1"/>
          <w:sz w:val="32"/>
          <w:szCs w:val="32"/>
          <w:u w:val="none"/>
          <w14:textFill>
            <w14:solidFill>
              <w14:schemeClr w14:val="tx1"/>
            </w14:solidFill>
          </w14:textFill>
        </w:rPr>
        <w:t>参照基本医疗保险</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相关</w:t>
      </w:r>
      <w:r>
        <w:rPr>
          <w:rFonts w:ascii="Times New Roman" w:hAnsi="Times New Roman" w:eastAsia="仿宋_GB2312" w:cs="Times New Roman"/>
          <w:color w:val="000000" w:themeColor="text1"/>
          <w:sz w:val="32"/>
          <w:szCs w:val="32"/>
          <w:u w:val="none"/>
          <w14:textFill>
            <w14:solidFill>
              <w14:schemeClr w14:val="tx1"/>
            </w14:solidFill>
          </w14:textFill>
        </w:rPr>
        <w:t>规定执行。</w:t>
      </w:r>
    </w:p>
    <w:p w14:paraId="1D06EF01">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大病保险</w:t>
      </w:r>
      <w:r>
        <w:rPr>
          <w:rFonts w:ascii="Times New Roman" w:hAnsi="Times New Roman" w:eastAsia="仿宋_GB2312" w:cs="Times New Roman"/>
          <w:color w:val="000000" w:themeColor="text1"/>
          <w:sz w:val="32"/>
          <w:szCs w:val="32"/>
          <w:u w:val="none"/>
          <w14:textFill>
            <w14:solidFill>
              <w14:schemeClr w14:val="tx1"/>
            </w14:solidFill>
          </w14:textFill>
        </w:rPr>
        <w:t>与基本医疗保险费用结算同步进行，实行</w:t>
      </w:r>
      <w:r>
        <w:rPr>
          <w:rFonts w:hint="eastAsia" w:ascii="Times New Roman" w:hAnsi="Times New Roman" w:cs="Times New Roman"/>
          <w:color w:val="000000" w:themeColor="text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14:textFill>
            <w14:solidFill>
              <w14:schemeClr w14:val="tx1"/>
            </w14:solidFill>
          </w14:textFill>
        </w:rPr>
        <w:t>一站式服务、一窗口办理、一单制结算</w:t>
      </w:r>
      <w:r>
        <w:rPr>
          <w:rFonts w:hint="eastAsia" w:ascii="Times New Roman" w:hAnsi="Times New Roman" w:cs="Times New Roman"/>
          <w:color w:val="000000" w:themeColor="text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14:textFill>
            <w14:solidFill>
              <w14:schemeClr w14:val="tx1"/>
            </w14:solidFill>
          </w14:textFill>
        </w:rPr>
        <w:t>。</w:t>
      </w:r>
    </w:p>
    <w:p w14:paraId="48289929">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ascii="Times New Roman" w:hAnsi="Times New Roman" w:eastAsia="仿宋_GB2312" w:cs="Times New Roman"/>
          <w:color w:val="000000" w:themeColor="text1"/>
          <w:sz w:val="32"/>
          <w:szCs w:val="32"/>
          <w:u w:val="none"/>
          <w14:textFill>
            <w14:solidFill>
              <w14:schemeClr w14:val="tx1"/>
            </w14:solidFill>
          </w14:textFill>
        </w:rPr>
      </w:pPr>
    </w:p>
    <w:p w14:paraId="28420E47">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default"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第五节 生育保障</w:t>
      </w:r>
    </w:p>
    <w:p w14:paraId="04A83117">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参加生育保险的职工享受生育保险待遇。职工生育医疗费用待遇享受条件原则上参照职工医保。职工生育保险参保人在定点医疗机构发生的合规生育医疗费用（包括产前检查、终止妊娠、分娩住院、计划生育等），符合国家和省规定的药品、诊疗项目和医用耗材目录支付范围的，不设个人先行自付和起付标准，不设封顶线，由职工医保统筹基金按100%报销比例全额支付，不计入职工医保年度最高支付限额。其他医疗费用按照基本医疗保险相关规定执行</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w:t>
      </w:r>
    </w:p>
    <w:p w14:paraId="764432AB">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职工未就业配偶未参加基本医疗保险的，生育医疗费用待遇参照居民医保医疗待遇标准执行；职工未就业配偶已参加基本医疗保险的，生育医疗费用待遇按照我市参保职工待遇标准执行，由生育保险按规定支付。职工未就业配偶已参加基本医保并享受生育医疗费用待遇的，不再重复享受相关待遇。</w:t>
      </w:r>
    </w:p>
    <w:p w14:paraId="5803E872">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职工申领生育津贴时，用人单位为职工连续缴费达12个月，且连续缴费期限须完整覆盖职工生育及产假时段。职工在生育前至产假期间连续参保缴费月数未满12个月的，按用人单位为其实际连续缴费的月份数（N）计算生育津贴发放总额（N/12）。</w:t>
      </w:r>
    </w:p>
    <w:p w14:paraId="64C6ABE5">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生育保险其他事项按照省、市有关规定执行。</w:t>
      </w:r>
    </w:p>
    <w:p w14:paraId="11185F29">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参加城乡居民基本医疗保险人员的政策内生育医疗费用，纳入居民医保门诊、住院待遇享受范围。</w:t>
      </w:r>
    </w:p>
    <w:p w14:paraId="479CF3DA">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rPr>
          <w:rStyle w:val="17"/>
          <w:rFonts w:hint="eastAsia" w:ascii="Times New Roman" w:hAnsi="Times New Roman" w:eastAsia="黑体"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p>
    <w:p w14:paraId="62774737">
      <w:pPr>
        <w:pStyle w:val="12"/>
        <w:keepNext w:val="0"/>
        <w:keepLines w:val="0"/>
        <w:pageBreakBefore w:val="0"/>
        <w:widowControl w:val="0"/>
        <w:numPr>
          <w:ilvl w:val="0"/>
          <w:numId w:val="1"/>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eastAsia" w:ascii="Times New Roman" w:hAnsi="Times New Roman" w:eastAsia="黑体"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黑体"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医保待遇与关系管理</w:t>
      </w:r>
    </w:p>
    <w:p w14:paraId="165AE764">
      <w:pPr>
        <w:pStyle w:val="12"/>
        <w:keepNext w:val="0"/>
        <w:keepLines w:val="0"/>
        <w:pageBreakBefore w:val="0"/>
        <w:widowControl w:val="0"/>
        <w:numPr>
          <w:ilvl w:val="0"/>
          <w:numId w:val="5"/>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Style w:val="17"/>
          <w:rFonts w:hint="default"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支付标准</w:t>
      </w:r>
    </w:p>
    <w:p w14:paraId="4F91D914">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cs="Times New Roman"/>
          <w:color w:val="000000" w:themeColor="text1"/>
          <w14:textFill>
            <w14:solidFill>
              <w14:schemeClr w14:val="tx1"/>
            </w14:solidFill>
          </w14:textFill>
        </w:rPr>
      </w:pPr>
      <w:r>
        <w:rPr>
          <w:rFonts w:hint="eastAsia" w:ascii="Times New Roman" w:hAnsi="Times New Roman" w:eastAsia="黑体" w:cs="Times New Roman"/>
          <w:b w:val="0"/>
          <w:bCs/>
          <w:color w:val="000000" w:themeColor="text1"/>
          <w:kern w:val="2"/>
          <w:sz w:val="32"/>
          <w:szCs w:val="32"/>
          <w:u w:val="none"/>
          <w:lang w:val="en-US" w:eastAsia="zh-CN" w:bidi="ar-SA"/>
          <w14:textFill>
            <w14:solidFill>
              <w14:schemeClr w14:val="tx1"/>
            </w14:solidFill>
          </w14:textFill>
        </w:rPr>
        <w:t xml:space="preserve"> </w:t>
      </w:r>
      <w:r>
        <w:rPr>
          <w:rFonts w:ascii="Times New Roman" w:hAnsi="Times New Roman" w:eastAsia="仿宋_GB2312" w:cs="Times New Roman"/>
          <w:color w:val="000000" w:themeColor="text1"/>
          <w:sz w:val="32"/>
          <w:szCs w:val="32"/>
          <w:u w:val="none"/>
          <w14:textFill>
            <w14:solidFill>
              <w14:schemeClr w14:val="tx1"/>
            </w14:solidFill>
          </w14:textFill>
        </w:rPr>
        <w:t>基本医疗保险基金支付范围按照</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省、市</w:t>
      </w:r>
      <w:r>
        <w:rPr>
          <w:rFonts w:ascii="Times New Roman" w:hAnsi="Times New Roman" w:eastAsia="仿宋_GB2312" w:cs="Times New Roman"/>
          <w:color w:val="000000" w:themeColor="text1"/>
          <w:sz w:val="32"/>
          <w:szCs w:val="32"/>
          <w:u w:val="none"/>
          <w14:textFill>
            <w14:solidFill>
              <w14:schemeClr w14:val="tx1"/>
            </w14:solidFill>
          </w14:textFill>
        </w:rPr>
        <w:t>基本医疗保险药品目录</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、诊疗项目目录、</w:t>
      </w:r>
      <w:r>
        <w:rPr>
          <w:rFonts w:ascii="Times New Roman" w:hAnsi="Times New Roman" w:eastAsia="仿宋_GB2312" w:cs="Times New Roman"/>
          <w:color w:val="000000" w:themeColor="text1"/>
          <w:sz w:val="32"/>
          <w:szCs w:val="32"/>
          <w:u w:val="none"/>
          <w14:textFill>
            <w14:solidFill>
              <w14:schemeClr w14:val="tx1"/>
            </w14:solidFill>
          </w14:textFill>
        </w:rPr>
        <w:t>医用耗材</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目录</w:t>
      </w:r>
      <w:r>
        <w:rPr>
          <w:rFonts w:ascii="Times New Roman" w:hAnsi="Times New Roman" w:eastAsia="仿宋_GB2312" w:cs="Times New Roman"/>
          <w:color w:val="000000" w:themeColor="text1"/>
          <w:sz w:val="32"/>
          <w:szCs w:val="32"/>
          <w:u w:val="none"/>
          <w14:textFill>
            <w14:solidFill>
              <w14:schemeClr w14:val="tx1"/>
            </w14:solidFill>
          </w14:textFill>
        </w:rPr>
        <w:t>等相关政策执行。</w:t>
      </w:r>
    </w:p>
    <w:p w14:paraId="2B401A89">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hint="eastAsia" w:ascii="Times New Roman" w:hAnsi="Times New Roman" w:eastAsia="黑体" w:cs="Times New Roman"/>
          <w:b w:val="0"/>
          <w:bCs/>
          <w:color w:val="000000" w:themeColor="text1"/>
          <w:kern w:val="2"/>
          <w:sz w:val="32"/>
          <w:szCs w:val="32"/>
          <w:u w:val="none"/>
          <w:lang w:val="en-US" w:eastAsia="zh-CN" w:bidi="ar-SA"/>
          <w14:textFill>
            <w14:solidFill>
              <w14:schemeClr w14:val="tx1"/>
            </w14:solidFill>
          </w14:textFill>
        </w:rPr>
        <w:t xml:space="preserve"> </w:t>
      </w:r>
      <w:r>
        <w:rPr>
          <w:rFonts w:ascii="Times New Roman" w:hAnsi="Times New Roman" w:eastAsia="仿宋_GB2312" w:cs="Times New Roman"/>
          <w:color w:val="000000" w:themeColor="text1"/>
          <w:sz w:val="32"/>
          <w:szCs w:val="32"/>
          <w:u w:val="none"/>
          <w14:textFill>
            <w14:solidFill>
              <w14:schemeClr w14:val="tx1"/>
            </w14:solidFill>
          </w14:textFill>
        </w:rPr>
        <w:t>参保人员</w:t>
      </w:r>
      <w:r>
        <w:rPr>
          <w:rFonts w:hint="eastAsia" w:ascii="Times New Roman" w:hAnsi="Times New Roman" w:eastAsia="仿宋_GB2312" w:cs="Times New Roman"/>
          <w:i w:val="0"/>
          <w:caps w:val="0"/>
          <w:color w:val="000000" w:themeColor="text1"/>
          <w:spacing w:val="0"/>
          <w:kern w:val="2"/>
          <w:sz w:val="32"/>
          <w:szCs w:val="32"/>
          <w:u w:val="none"/>
          <w:shd w:val="clear" w:color="auto" w:fill="FFFFFF"/>
          <w:lang w:val="en-US" w:eastAsia="zh-CN" w:bidi="ar-SA"/>
          <w14:textFill>
            <w14:solidFill>
              <w14:schemeClr w14:val="tx1"/>
            </w14:solidFill>
          </w14:textFill>
        </w:rPr>
        <w:t>治疗发生的乙类药品由个人先行自付10%后，纳入基本医</w:t>
      </w:r>
      <w:r>
        <w:rPr>
          <w:rFonts w:ascii="Times New Roman" w:hAnsi="Times New Roman" w:eastAsia="仿宋_GB2312" w:cs="Times New Roman"/>
          <w:color w:val="000000" w:themeColor="text1"/>
          <w:sz w:val="32"/>
          <w:szCs w:val="32"/>
          <w:u w:val="none"/>
          <w14:textFill>
            <w14:solidFill>
              <w14:schemeClr w14:val="tx1"/>
            </w14:solidFill>
          </w14:textFill>
        </w:rPr>
        <w:t>疗保险基金支付范围</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按规定支付</w:t>
      </w:r>
      <w:r>
        <w:rPr>
          <w:rFonts w:ascii="Times New Roman" w:hAnsi="Times New Roman" w:eastAsia="仿宋_GB2312" w:cs="Times New Roman"/>
          <w:color w:val="000000" w:themeColor="text1"/>
          <w:sz w:val="32"/>
          <w:szCs w:val="32"/>
          <w:u w:val="none"/>
          <w14:textFill>
            <w14:solidFill>
              <w14:schemeClr w14:val="tx1"/>
            </w14:solidFill>
          </w14:textFill>
        </w:rPr>
        <w:t>。</w:t>
      </w:r>
    </w:p>
    <w:p w14:paraId="47FABB70">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cs="Times New Roman"/>
          <w:color w:val="000000" w:themeColor="text1"/>
          <w:lang w:eastAsia="zh-CN"/>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除急救和抢救外，参保人在就医地非医保定点医疗机构就医、购药发生的医疗费用，统筹基金</w:t>
      </w:r>
      <w:r>
        <w:rPr>
          <w:rFonts w:ascii="Times New Roman" w:hAnsi="Times New Roman" w:eastAsia="仿宋_GB2312" w:cs="Times New Roman"/>
          <w:color w:val="000000" w:themeColor="text1"/>
          <w:sz w:val="32"/>
          <w:szCs w:val="32"/>
          <w:u w:val="none"/>
          <w14:textFill>
            <w14:solidFill>
              <w14:schemeClr w14:val="tx1"/>
            </w14:solidFill>
          </w14:textFill>
        </w:rPr>
        <w:t>不予支付</w:t>
      </w:r>
      <w:r>
        <w:rPr>
          <w:rFonts w:hint="eastAsia" w:ascii="Times New Roman" w:hAnsi="Times New Roman" w:cs="Times New Roman"/>
          <w:color w:val="000000" w:themeColor="text1"/>
          <w:lang w:eastAsia="zh-CN"/>
          <w14:textFill>
            <w14:solidFill>
              <w14:schemeClr w14:val="tx1"/>
            </w14:solidFill>
          </w14:textFill>
        </w:rPr>
        <w:t>。</w:t>
      </w:r>
    </w:p>
    <w:p w14:paraId="4FD94863">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pPr>
      <w:r>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t xml:space="preserve"> 下列医疗费用不纳入基本医疗保险基金支付范围：</w:t>
      </w:r>
    </w:p>
    <w:p w14:paraId="37E8CF8F">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pPr>
      <w:r>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t>（一）应当从工伤保险基金中支付的；</w:t>
      </w:r>
    </w:p>
    <w:p w14:paraId="7A0D9852">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pPr>
      <w:r>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t>（二）应当由第三人负担的；</w:t>
      </w:r>
    </w:p>
    <w:p w14:paraId="27E76855">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pPr>
      <w:r>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t>（三）应当由公共卫生负担的；</w:t>
      </w:r>
    </w:p>
    <w:p w14:paraId="4F949FE3">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pPr>
      <w:r>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t>（四）在境外就医的；</w:t>
      </w:r>
    </w:p>
    <w:p w14:paraId="43662436">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pPr>
      <w:r>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t>（五）体育健身、养身保健消费、健康体检；</w:t>
      </w:r>
    </w:p>
    <w:p w14:paraId="1ABCCB26">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pPr>
      <w:r>
        <w:rPr>
          <w:rFonts w:hint="eastAsia" w:ascii="Times New Roman" w:hAnsi="Times New Roman" w:eastAsia="仿宋_GB2312" w:cs="Times New Roman"/>
          <w:snapToGrid w:val="0"/>
          <w:color w:val="000000" w:themeColor="text1"/>
          <w:kern w:val="0"/>
          <w:sz w:val="32"/>
          <w:szCs w:val="32"/>
          <w:u w:val="none"/>
          <w:lang w:val="en-US" w:eastAsia="zh-CN" w:bidi="ar-SA"/>
          <w14:textFill>
            <w14:solidFill>
              <w14:schemeClr w14:val="tx1"/>
            </w14:solidFill>
          </w14:textFill>
        </w:rPr>
        <w:t>（六）国家和省规定的基本医疗保险基金不予支付的其他费用。</w:t>
      </w:r>
    </w:p>
    <w:p w14:paraId="730D1CB4">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baseline"/>
        <w:rPr>
          <w:rFonts w:hint="eastAsia" w:ascii="Times New Roman" w:hAnsi="Times New Roman" w:cs="Times New Roman"/>
          <w:color w:val="000000" w:themeColor="text1"/>
          <w:lang w:eastAsia="zh-CN"/>
          <w14:textFill>
            <w14:solidFill>
              <w14:schemeClr w14:val="tx1"/>
            </w14:solidFill>
          </w14:textFill>
        </w:rPr>
      </w:pPr>
    </w:p>
    <w:p w14:paraId="7D09B44C">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Fonts w:hint="eastAsia" w:ascii="Times New Roman" w:hAnsi="Times New Roman" w:eastAsia="楷体_GB2312" w:cs="Times New Roman"/>
          <w:b w:val="0"/>
          <w:bCs w:val="0"/>
          <w:i w:val="0"/>
          <w:iCs w:val="0"/>
          <w:caps w:val="0"/>
          <w:color w:val="000000" w:themeColor="text1"/>
          <w:spacing w:val="0"/>
          <w:sz w:val="32"/>
          <w:szCs w:val="32"/>
          <w:u w:val="none"/>
          <w:vertAlign w:val="baseline"/>
          <w14:textFill>
            <w14:solidFill>
              <w14:schemeClr w14:val="tx1"/>
            </w14:solidFill>
          </w14:textFill>
        </w:rPr>
      </w:pPr>
      <w:r>
        <w:rPr>
          <w:rFonts w:hint="eastAsia" w:ascii="Times New Roman" w:hAnsi="Times New Roman" w:eastAsia="楷体_GB2312" w:cs="Times New Roman"/>
          <w:b w:val="0"/>
          <w:bCs w:val="0"/>
          <w:i w:val="0"/>
          <w:iCs w:val="0"/>
          <w:caps w:val="0"/>
          <w:color w:val="000000" w:themeColor="text1"/>
          <w:spacing w:val="0"/>
          <w:sz w:val="32"/>
          <w:szCs w:val="32"/>
          <w:u w:val="none"/>
          <w:vertAlign w:val="baseline"/>
          <w:lang w:val="en-US" w:eastAsia="zh-CN"/>
          <w14:textFill>
            <w14:solidFill>
              <w14:schemeClr w14:val="tx1"/>
            </w14:solidFill>
          </w14:textFill>
        </w:rPr>
        <w:t>第二节 待遇享受时间</w:t>
      </w:r>
    </w:p>
    <w:p w14:paraId="3DA13A8B">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职工医保按月缴费，在职职工自缴费次月起享受待遇，停止缴费</w:t>
      </w:r>
      <w:r>
        <w:rPr>
          <w:rFonts w:ascii="Times New Roman" w:hAnsi="Times New Roman" w:eastAsia="仿宋_GB2312" w:cs="Times New Roman"/>
          <w:color w:val="000000" w:themeColor="text1"/>
          <w:sz w:val="32"/>
          <w:szCs w:val="32"/>
          <w:u w:val="none"/>
          <w14:textFill>
            <w14:solidFill>
              <w14:schemeClr w14:val="tx1"/>
            </w14:solidFill>
          </w14:textFill>
        </w:rPr>
        <w:t>次月起</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停止</w:t>
      </w:r>
      <w:r>
        <w:rPr>
          <w:rFonts w:ascii="Times New Roman" w:hAnsi="Times New Roman" w:eastAsia="仿宋_GB2312" w:cs="Times New Roman"/>
          <w:color w:val="000000" w:themeColor="text1"/>
          <w:sz w:val="32"/>
          <w:szCs w:val="32"/>
          <w:u w:val="none"/>
          <w14:textFill>
            <w14:solidFill>
              <w14:schemeClr w14:val="tx1"/>
            </w14:solidFill>
          </w14:textFill>
        </w:rPr>
        <w:t>待遇。</w:t>
      </w:r>
    </w:p>
    <w:p w14:paraId="7C603222">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 xml:space="preserve"> 已连续2年（含）以上参加基本医疗保险，中断缴费3个月（含）以内，以灵活就业人员身份参加职工医保的，从缴费次月起享受职工医保待遇。</w:t>
      </w:r>
    </w:p>
    <w:p w14:paraId="7BD8D8E3">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不满足上述情形，以灵活就业人员身份参加职工医保的，从连续缴费的第7个月起享受</w:t>
      </w:r>
      <w:r>
        <w:rPr>
          <w:rFonts w:hint="eastAsia" w:ascii="Times New Roman" w:hAnsi="Times New Roman" w:eastAsia="仿宋_GB2312" w:cs="Times New Roman"/>
          <w:color w:val="000000" w:themeColor="text1"/>
          <w:kern w:val="0"/>
          <w:sz w:val="32"/>
          <w:szCs w:val="32"/>
          <w:highlight w:val="none"/>
          <w:u w:val="none"/>
          <w:lang w:val="en-US" w:eastAsia="zh-CN" w:bidi="ar"/>
          <w14:textFill>
            <w14:solidFill>
              <w14:schemeClr w14:val="tx1"/>
            </w14:solidFill>
          </w14:textFill>
        </w:rPr>
        <w:t>职工</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医保</w:t>
      </w:r>
      <w:r>
        <w:rPr>
          <w:rFonts w:ascii="Times New Roman" w:hAnsi="Times New Roman" w:eastAsia="仿宋_GB2312" w:cs="Times New Roman"/>
          <w:color w:val="000000" w:themeColor="text1"/>
          <w:sz w:val="32"/>
          <w:szCs w:val="32"/>
          <w:highlight w:val="none"/>
          <w:u w:val="none"/>
          <w14:textFill>
            <w14:solidFill>
              <w14:schemeClr w14:val="tx1"/>
            </w14:solidFill>
          </w14:textFill>
        </w:rPr>
        <w:t>待遇。</w:t>
      </w:r>
    </w:p>
    <w:p w14:paraId="7C96B12E">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失业人员在领取失业保险金期间享受相应的职工医保待遇，自符合失业保险金领取条件的次月起享受待遇。</w:t>
      </w:r>
    </w:p>
    <w:p w14:paraId="591C8153">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因工致残被鉴定为一级至四级伤残的工伤职工待遇享受时间参照在职职工执行。</w:t>
      </w:r>
    </w:p>
    <w:p w14:paraId="3E37E0F5">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居民医保实行按年度缴费，原则上每</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年1月1日起至12月31日止为居民医保待遇享受期。</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特殊群体待遇享受时间如下：</w:t>
      </w:r>
    </w:p>
    <w:p w14:paraId="4AC962BD">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（一）新生儿。新生儿出生18</w:t>
      </w:r>
      <w:r>
        <w:rPr>
          <w:rFonts w:hint="eastAsia"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0天内在当年度办理参保的，自出生之日起所发生的符合规定的医疗费用纳入医保支付范围；新生儿出生180天后在当年度参保的，</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参保次月享受</w:t>
      </w:r>
      <w:r>
        <w:rPr>
          <w:rFonts w:ascii="Times New Roman" w:hAnsi="Times New Roman" w:eastAsia="仿宋_GB2312" w:cs="Times New Roman"/>
          <w:color w:val="000000" w:themeColor="text1"/>
          <w:sz w:val="32"/>
          <w:szCs w:val="32"/>
          <w:highlight w:val="none"/>
          <w:u w:val="none"/>
          <w14:textFill>
            <w14:solidFill>
              <w14:schemeClr w14:val="tx1"/>
            </w14:solidFill>
          </w14:textFill>
        </w:rPr>
        <w:t>基本医疗保险待遇</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strike w:val="0"/>
          <w:dstrike w:val="0"/>
          <w:color w:val="000000" w:themeColor="text1"/>
          <w:kern w:val="2"/>
          <w:sz w:val="32"/>
          <w:szCs w:val="32"/>
          <w:highlight w:val="none"/>
          <w:u w:val="none"/>
          <w:lang w:val="en-US" w:eastAsia="zh-CN" w:bidi="ar-SA"/>
          <w14:textFill>
            <w14:solidFill>
              <w14:schemeClr w14:val="tx1"/>
            </w14:solidFill>
          </w14:textFill>
        </w:rPr>
        <w:t>新生儿出生180天内跨出生年度参保的，以实际缴费所属年度享受基本医疗保险待遇；新生儿出生180天后当年度未办理参保，直接参加下一年度居民医保，</w:t>
      </w:r>
      <w:r>
        <w:rPr>
          <w:rFonts w:hint="eastAsia"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按居</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民医保待遇等待期相关规定执行。</w:t>
      </w:r>
    </w:p>
    <w:p w14:paraId="5F457A3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（二）资助参保人员。由政府资助参保的</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医疗救助对象不设置待遇享受等待期，从相关职能部门认定其医疗救助对象身份之日起享受医疗保障待遇。</w:t>
      </w:r>
      <w:r>
        <w:rPr>
          <w:rFonts w:hint="eastAsia"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待遇享受时间原则上以出院或门诊就诊时间为准。在住院治疗期间获得、终止或变更医疗救助身份的，当次住院按照就高不就低原则享受待遇。</w:t>
      </w:r>
    </w:p>
    <w:p w14:paraId="25795673">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（三）已办理职工医保中止手续的人员。参保人已连续</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2年（含）参加基本医疗保险且中断缴费3个月（含）以内的，</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从缴费到账的次月起</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14:textFill>
            <w14:solidFill>
              <w14:schemeClr w14:val="tx1"/>
            </w14:solidFill>
          </w14:textFill>
        </w:rPr>
        <w:t>按规定享受相应待遇</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w:t>
      </w:r>
    </w:p>
    <w:p w14:paraId="4DB38456">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（四）其他特殊人员。</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符合条件的</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新迁入本市户籍人员、中途转入本市就读的在校学生、</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退役士兵、刑满释放人员等其他特殊群</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体当年度中途参保的，从缴费到账的次月起按规定享受相应待遇。</w:t>
      </w:r>
    </w:p>
    <w:p w14:paraId="51370CE1">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待遇等待期规定。</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自2025年起，除新生儿等特殊群体外，对未在居民医保集中参保期内参保或未连续参保的人员，设置参保后固定待遇等待期3个月。其中，未连续参保的，每多断保1年，在固定待遇等待期基础上增加变动待遇等待期1个月。参保人员可通过缴费修复变动待遇等待期，参照当年我市规定的个人缴费标准缴费修复，每多缴纳1年可减少1个月变动待遇等待期，连续断缴4年及以上的，修复后固定待遇等待期和变动待遇等待期之和不少于6个月。待遇等待期间不享受相应居民医保待遇。</w:t>
      </w:r>
    </w:p>
    <w:p w14:paraId="306DDB0F">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line="560" w:lineRule="exact"/>
        <w:ind w:left="0" w:leftChars="0" w:right="0"/>
        <w:jc w:val="both"/>
        <w:textAlignment w:val="baseline"/>
        <w:rPr>
          <w:rFonts w:hint="eastAsia" w:ascii="Times New Roman" w:hAnsi="Times New Roman" w:cs="Times New Roman"/>
          <w:color w:val="000000" w:themeColor="text1"/>
          <w:lang w:eastAsia="zh-CN"/>
          <w14:textFill>
            <w14:solidFill>
              <w14:schemeClr w14:val="tx1"/>
            </w14:solidFill>
          </w14:textFill>
        </w:rPr>
      </w:pPr>
    </w:p>
    <w:p w14:paraId="4B3C3FFF">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baseline"/>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pPr>
      <w:r>
        <w:rPr>
          <w:rFonts w:hint="default" w:ascii="Times New Roman" w:hAnsi="Times New Roman" w:eastAsia="楷体_GB2312" w:cs="Times New Roman"/>
          <w:b w:val="0"/>
          <w:bCs w:val="0"/>
          <w:i w:val="0"/>
          <w:iCs w:val="0"/>
          <w:caps w:val="0"/>
          <w:color w:val="000000" w:themeColor="text1"/>
          <w:spacing w:val="0"/>
          <w:kern w:val="0"/>
          <w:sz w:val="32"/>
          <w:szCs w:val="32"/>
          <w:vertAlign w:val="baseline"/>
          <w:lang w:val="en-US" w:eastAsia="zh-CN" w:bidi="ar"/>
          <w14:textFill>
            <w14:solidFill>
              <w14:schemeClr w14:val="tx1"/>
            </w14:solidFill>
          </w14:textFill>
        </w:rPr>
        <w:t>第</w:t>
      </w:r>
      <w:r>
        <w:rPr>
          <w:rFonts w:hint="eastAsia" w:ascii="Times New Roman" w:hAnsi="Times New Roman" w:eastAsia="楷体_GB2312" w:cs="Times New Roman"/>
          <w:b w:val="0"/>
          <w:bCs w:val="0"/>
          <w:i w:val="0"/>
          <w:iCs w:val="0"/>
          <w:caps w:val="0"/>
          <w:color w:val="000000" w:themeColor="text1"/>
          <w:spacing w:val="0"/>
          <w:kern w:val="0"/>
          <w:sz w:val="32"/>
          <w:szCs w:val="32"/>
          <w:vertAlign w:val="baseline"/>
          <w:lang w:val="en-US" w:eastAsia="zh-CN" w:bidi="ar"/>
          <w14:textFill>
            <w14:solidFill>
              <w14:schemeClr w14:val="tx1"/>
            </w14:solidFill>
          </w14:textFill>
        </w:rPr>
        <w:t>三</w:t>
      </w:r>
      <w:r>
        <w:rPr>
          <w:rFonts w:hint="default" w:ascii="Times New Roman" w:hAnsi="Times New Roman" w:eastAsia="楷体_GB2312" w:cs="Times New Roman"/>
          <w:b w:val="0"/>
          <w:bCs w:val="0"/>
          <w:i w:val="0"/>
          <w:iCs w:val="0"/>
          <w:caps w:val="0"/>
          <w:color w:val="000000" w:themeColor="text1"/>
          <w:spacing w:val="0"/>
          <w:kern w:val="0"/>
          <w:sz w:val="32"/>
          <w:szCs w:val="32"/>
          <w:vertAlign w:val="baseline"/>
          <w:lang w:val="en-US" w:eastAsia="zh-CN" w:bidi="ar"/>
          <w14:textFill>
            <w14:solidFill>
              <w14:schemeClr w14:val="tx1"/>
            </w14:solidFill>
          </w14:textFill>
        </w:rPr>
        <w:t>节</w:t>
      </w:r>
      <w:r>
        <w:rPr>
          <w:rFonts w:hint="eastAsia" w:ascii="Times New Roman" w:hAnsi="Times New Roman" w:eastAsia="楷体_GB2312" w:cs="Times New Roman"/>
          <w:b w:val="0"/>
          <w:bCs w:val="0"/>
          <w:i w:val="0"/>
          <w:iCs w:val="0"/>
          <w:caps w:val="0"/>
          <w:color w:val="000000" w:themeColor="text1"/>
          <w:spacing w:val="0"/>
          <w:kern w:val="0"/>
          <w:sz w:val="32"/>
          <w:szCs w:val="32"/>
          <w:vertAlign w:val="baseline"/>
          <w:lang w:val="en-US" w:eastAsia="zh-CN" w:bidi="ar"/>
          <w14:textFill>
            <w14:solidFill>
              <w14:schemeClr w14:val="tx1"/>
            </w14:solidFill>
          </w14:textFill>
        </w:rPr>
        <w:t xml:space="preserve"> </w:t>
      </w:r>
      <w:r>
        <w:rPr>
          <w:rStyle w:val="17"/>
          <w:rFonts w:hint="eastAsia" w:ascii="Times New Roman" w:hAnsi="Times New Roman" w:eastAsia="楷体_GB2312" w:cs="Times New Roman"/>
          <w:b w:val="0"/>
          <w:bCs/>
          <w:i w:val="0"/>
          <w:iCs w:val="0"/>
          <w:caps w:val="0"/>
          <w:color w:val="000000" w:themeColor="text1"/>
          <w:spacing w:val="0"/>
          <w:sz w:val="32"/>
          <w:szCs w:val="32"/>
          <w:u w:val="none"/>
          <w:vertAlign w:val="baseline"/>
          <w:lang w:val="en-US" w:eastAsia="zh-CN"/>
          <w14:textFill>
            <w14:solidFill>
              <w14:schemeClr w14:val="tx1"/>
            </w14:solidFill>
          </w14:textFill>
        </w:rPr>
        <w:t>异地就医管理</w:t>
      </w:r>
    </w:p>
    <w:p w14:paraId="586EB8AF">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 xml:space="preserve"> 异地就医人员可分为以下五类。</w:t>
      </w:r>
    </w:p>
    <w:p w14:paraId="76D7E2D1">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下列三款人员统称“异地长期居住人员”：</w:t>
      </w:r>
    </w:p>
    <w:p w14:paraId="339A0B77">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（一）异地安置退休人员：指退休后在异地定居并且户籍迁入定居地的人员。</w:t>
      </w:r>
    </w:p>
    <w:p w14:paraId="4C6AF133">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（二）异地长期居住人员：指近期拟在或已在异地同一地区连续居住生活半年以上的人员。</w:t>
      </w:r>
    </w:p>
    <w:p w14:paraId="41F67042">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（三）常驻异地工作人员：指用人单位派驻异地工作且符合参保地有关规定的人员。</w:t>
      </w:r>
    </w:p>
    <w:p w14:paraId="17E2F021">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下列两款人员统称“临时外出就医人员”：</w:t>
      </w:r>
    </w:p>
    <w:p w14:paraId="19973768">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（四）转诊转院人员：指符合参保地转诊转院规定的人员。</w:t>
      </w:r>
    </w:p>
    <w:p w14:paraId="6324AE1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（五）临时异地就医人员：指因紧急救治和抢救需要，在参保地以外医疗机构接受紧急诊疗的人员，以及其他符合参保地规定的异地就医及药店购药人员。</w:t>
      </w:r>
    </w:p>
    <w:p w14:paraId="292A8D68">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hint="eastAsia" w:ascii="Times New Roman" w:hAnsi="Times New Roman" w:eastAsia="楷体_GB2312" w:cs="Times New Roman"/>
          <w:b/>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临时外出就医人员省内跨市就医无需办理异地就医备案手续，选择已开通联网直接结算的医疗机构就医，出院或就诊后即可享受医疗费用直接结算</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（门诊需办理选点）</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。异地长期居住人员和跨省异地就医人员需按规定向参保地医疗保障经办机构申报备案。</w:t>
      </w:r>
    </w:p>
    <w:p w14:paraId="1C06C009">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20" w:firstLineChars="200"/>
        <w:jc w:val="both"/>
        <w:textAlignment w:val="auto"/>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1"/>
          <w:szCs w:val="31"/>
          <w:lang w:val="en-US" w:eastAsia="zh-CN" w:bidi="ar"/>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参保人员在异地就医备案有效期内可在就医地已开通联网直接结算的定点医疗机构多次就诊并享受异地就医医疗费用直接结算服务。</w:t>
      </w:r>
    </w:p>
    <w:p w14:paraId="0B830446">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参保人跨省、省内跨市异地就医出院结算前补办异地就医备案的，就医地联网定点医疗机构应为参保人办理医疗费用直接结算。出院自费结算后按规定补办备案手续的，可以按规定申请手工报销。</w:t>
      </w:r>
    </w:p>
    <w:p w14:paraId="02739F47">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 xml:space="preserve"> 已办理省内或跨省异地就医住院医疗费用直接结算备案的参保人员，</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在已办理门诊选点前提下，</w:t>
      </w:r>
      <w:r>
        <w:rPr>
          <w:rFonts w:hint="eastAsia" w:ascii="Times New Roman" w:hAnsi="Times New Roman" w:eastAsia="仿宋_GB2312" w:cs="Times New Roman"/>
          <w:color w:val="000000" w:themeColor="text1"/>
          <w:kern w:val="0"/>
          <w:sz w:val="32"/>
          <w:szCs w:val="32"/>
          <w:u w:val="none"/>
          <w:lang w:val="en-US" w:eastAsia="zh-CN" w:bidi="ar"/>
          <w14:textFill>
            <w14:solidFill>
              <w14:schemeClr w14:val="tx1"/>
            </w14:solidFill>
          </w14:textFill>
        </w:rPr>
        <w:t>可同步开通异地就医门诊医疗费用直接结算服务，无需重新办理备案。</w:t>
      </w:r>
    </w:p>
    <w:p w14:paraId="330F0F51">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1192F10C">
      <w:pPr>
        <w:keepNext w:val="0"/>
        <w:keepLines w:val="0"/>
        <w:pageBreakBefore w:val="0"/>
        <w:widowControl w:val="0"/>
        <w:numPr>
          <w:ilvl w:val="0"/>
          <w:numId w:val="1"/>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楷体_GB2312" w:cs="Times New Roman"/>
          <w:b w:val="0"/>
          <w:bCs/>
          <w:snapToGrid w:val="0"/>
          <w:color w:val="000000" w:themeColor="text1"/>
          <w:sz w:val="32"/>
          <w:szCs w:val="32"/>
          <w:u w:val="none"/>
          <w:lang w:val="en-US" w:eastAsia="zh-CN" w:bidi="ar-SA"/>
          <w14:textFill>
            <w14:solidFill>
              <w14:schemeClr w14:val="tx1"/>
            </w14:solidFill>
          </w14:textFill>
        </w:rPr>
      </w:pPr>
      <w:r>
        <w:rPr>
          <w:rFonts w:hint="eastAsia" w:ascii="Times New Roman" w:hAnsi="Times New Roman" w:eastAsia="黑体" w:cs="Times New Roman"/>
          <w:b w:val="0"/>
          <w:bCs/>
          <w:color w:val="000000" w:themeColor="text1"/>
          <w:kern w:val="2"/>
          <w:sz w:val="32"/>
          <w:szCs w:val="32"/>
          <w:u w:val="none"/>
          <w:lang w:val="en-US" w:eastAsia="zh-CN" w:bidi="ar-SA"/>
          <w14:textFill>
            <w14:solidFill>
              <w14:schemeClr w14:val="tx1"/>
            </w14:solidFill>
          </w14:textFill>
        </w:rPr>
        <w:t>基金</w:t>
      </w:r>
      <w:r>
        <w:rPr>
          <w:rFonts w:hint="eastAsia" w:ascii="Times New Roman" w:hAnsi="Times New Roman" w:eastAsia="黑体" w:cs="Times New Roman"/>
          <w:b w:val="0"/>
          <w:bCs/>
          <w:snapToGrid w:val="0"/>
          <w:color w:val="000000" w:themeColor="text1"/>
          <w:kern w:val="0"/>
          <w:sz w:val="32"/>
          <w:szCs w:val="32"/>
          <w:u w:val="none"/>
          <w:lang w:val="en-US" w:eastAsia="zh-CN" w:bidi="ar-SA"/>
          <w14:textFill>
            <w14:solidFill>
              <w14:schemeClr w14:val="tx1"/>
            </w14:solidFill>
          </w14:textFill>
        </w:rPr>
        <w:t>管理和监督</w:t>
      </w:r>
    </w:p>
    <w:p w14:paraId="1432A6B9">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基本医疗保险制度实行</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权利与义务相对应、待遇与缴费相挂钩、缴费和补助相结合的原则，实行市级统筹</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，基金纳入市社会保障基金财政专户管理，</w:t>
      </w:r>
      <w:r>
        <w:rPr>
          <w:rFonts w:ascii="Times New Roman" w:hAnsi="Times New Roman" w:eastAsia="仿宋_GB2312" w:cs="Times New Roman"/>
          <w:color w:val="000000" w:themeColor="text1"/>
          <w:sz w:val="32"/>
          <w:szCs w:val="32"/>
          <w:u w:val="none"/>
          <w14:textFill>
            <w14:solidFill>
              <w14:schemeClr w14:val="tx1"/>
            </w14:solidFill>
          </w14:textFill>
        </w:rPr>
        <w:t>实行单独建账、</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统一</w:t>
      </w:r>
      <w:r>
        <w:rPr>
          <w:rFonts w:ascii="Times New Roman" w:hAnsi="Times New Roman" w:eastAsia="仿宋_GB2312" w:cs="Times New Roman"/>
          <w:color w:val="000000" w:themeColor="text1"/>
          <w:sz w:val="32"/>
          <w:szCs w:val="32"/>
          <w:u w:val="none"/>
          <w14:textFill>
            <w14:solidFill>
              <w14:schemeClr w14:val="tx1"/>
            </w14:solidFill>
          </w14:textFill>
        </w:rPr>
        <w:t>核算、专款专用</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ascii="Times New Roman" w:hAnsi="Times New Roman" w:eastAsia="仿宋_GB2312" w:cs="Times New Roman"/>
          <w:color w:val="000000" w:themeColor="text1"/>
          <w:sz w:val="32"/>
          <w:szCs w:val="32"/>
          <w:u w:val="none"/>
          <w14:textFill>
            <w14:solidFill>
              <w14:schemeClr w14:val="tx1"/>
            </w14:solidFill>
          </w14:textFill>
        </w:rPr>
        <w:t>任何部门、单位和个人不得截留、挤占和挪用。</w:t>
      </w:r>
    </w:p>
    <w:p w14:paraId="59A9ED33">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政府运用法律、行政、经济手段保证基本医疗保险基金的筹集和支付。</w:t>
      </w:r>
    </w:p>
    <w:p w14:paraId="5BCA5F4B">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u w:val="no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基本医疗保险</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基金实行年度预算管理，预决算编制、调整、执行应当严格依照《中华人民共和国预算法》《社会保险基金财务制度》等有关规定执行。基本医疗保险基金根据当年参保人数、基金收入、财政补助、基金支出、总额控制等因素进行预算调整。</w:t>
      </w:r>
    </w:p>
    <w:p w14:paraId="566A1529">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themeColor="text1"/>
          <w:sz w:val="32"/>
          <w:szCs w:val="32"/>
          <w:u w:val="none"/>
          <w14:textFill>
            <w14:solidFill>
              <w14:schemeClr w14:val="tx1"/>
            </w14:solidFill>
          </w14:textFill>
        </w:rPr>
      </w:pPr>
      <w:r>
        <w:rPr>
          <w:rFonts w:hint="eastAsia" w:ascii="Times New Roman" w:hAnsi="Times New Roman" w:eastAsia="仿宋_GB2312" w:cs="Times New Roman"/>
          <w:color w:val="000000" w:themeColor="text1"/>
          <w:sz w:val="32"/>
          <w:szCs w:val="32"/>
          <w:u w:val="none"/>
          <w14:textFill>
            <w14:solidFill>
              <w14:schemeClr w14:val="tx1"/>
            </w14:solidFill>
          </w14:textFill>
        </w:rPr>
        <w:t xml:space="preserve"> </w:t>
      </w:r>
      <w:r>
        <w:rPr>
          <w:rFonts w:ascii="Times New Roman" w:hAnsi="Times New Roman" w:eastAsia="仿宋_GB2312" w:cs="Times New Roman"/>
          <w:color w:val="000000" w:themeColor="text1"/>
          <w:sz w:val="32"/>
          <w:szCs w:val="32"/>
          <w:u w:val="none"/>
          <w14:textFill>
            <w14:solidFill>
              <w14:schemeClr w14:val="tx1"/>
            </w14:solidFill>
          </w14:textFill>
        </w:rPr>
        <w:t>医疗保障</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行政</w:t>
      </w:r>
      <w:r>
        <w:rPr>
          <w:rFonts w:ascii="Times New Roman" w:hAnsi="Times New Roman" w:eastAsia="仿宋_GB2312" w:cs="Times New Roman"/>
          <w:color w:val="000000" w:themeColor="text1"/>
          <w:sz w:val="32"/>
          <w:szCs w:val="32"/>
          <w:u w:val="none"/>
          <w14:textFill>
            <w14:solidFill>
              <w14:schemeClr w14:val="tx1"/>
            </w14:solidFill>
          </w14:textFill>
        </w:rPr>
        <w:t>部门</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负责本行政区域的医疗保障基金使用</w:t>
      </w:r>
      <w:r>
        <w:rPr>
          <w:rFonts w:ascii="Times New Roman" w:hAnsi="Times New Roman" w:eastAsia="仿宋_GB2312" w:cs="Times New Roman"/>
          <w:color w:val="000000" w:themeColor="text1"/>
          <w:sz w:val="32"/>
          <w:szCs w:val="32"/>
          <w:u w:val="none"/>
          <w14:textFill>
            <w14:solidFill>
              <w14:schemeClr w14:val="tx1"/>
            </w14:solidFill>
          </w14:textFill>
        </w:rPr>
        <w:t>监督</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管理工作</w:t>
      </w:r>
      <w:r>
        <w:rPr>
          <w:rFonts w:ascii="Times New Roman" w:hAnsi="Times New Roman" w:eastAsia="仿宋_GB2312" w:cs="Times New Roman"/>
          <w:color w:val="000000" w:themeColor="text1"/>
          <w:sz w:val="32"/>
          <w:szCs w:val="32"/>
          <w:u w:val="none"/>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其他有关部门在各自职责范围内负责有关的医疗保障基金使用</w:t>
      </w:r>
      <w:r>
        <w:rPr>
          <w:rFonts w:ascii="Times New Roman" w:hAnsi="Times New Roman" w:eastAsia="仿宋_GB2312" w:cs="Times New Roman"/>
          <w:color w:val="000000" w:themeColor="text1"/>
          <w:sz w:val="32"/>
          <w:szCs w:val="32"/>
          <w:u w:val="none"/>
          <w14:textFill>
            <w14:solidFill>
              <w14:schemeClr w14:val="tx1"/>
            </w14:solidFill>
          </w14:textFill>
        </w:rPr>
        <w:t>监督</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管理工作。</w:t>
      </w:r>
    </w:p>
    <w:p w14:paraId="3D75DA06">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医疗保障经办机构建立健全内控制度、完善岗位责任及风险防控机制。加强内部审计稽核工作，确保基金安全，按照职责分工和相关财务制度规定进行会计核算和编制基金预、决算报表及分析。</w:t>
      </w:r>
    </w:p>
    <w:p w14:paraId="6B88B034">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基本</w:t>
      </w:r>
      <w:r>
        <w:rPr>
          <w:rFonts w:ascii="Times New Roman" w:hAnsi="Times New Roman" w:eastAsia="仿宋_GB2312" w:cs="Times New Roman"/>
          <w:color w:val="000000" w:themeColor="text1"/>
          <w:sz w:val="32"/>
          <w:szCs w:val="32"/>
          <w:u w:val="none"/>
          <w14:textFill>
            <w14:solidFill>
              <w14:schemeClr w14:val="tx1"/>
            </w14:solidFill>
          </w14:textFill>
        </w:rPr>
        <w:t>医疗</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保险</w:t>
      </w:r>
      <w:r>
        <w:rPr>
          <w:rFonts w:ascii="Times New Roman" w:hAnsi="Times New Roman" w:eastAsia="仿宋_GB2312" w:cs="Times New Roman"/>
          <w:color w:val="000000" w:themeColor="text1"/>
          <w:sz w:val="32"/>
          <w:szCs w:val="32"/>
          <w:u w:val="none"/>
          <w14:textFill>
            <w14:solidFill>
              <w14:schemeClr w14:val="tx1"/>
            </w14:solidFill>
          </w14:textFill>
        </w:rPr>
        <w:t>基金依法接受监督，经办机构、参保单位、个人或医药机构有骗取或协助骗取医疗保障基金行为的，</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依据《中华人民共和国社会保险法》等相关法律法规处理。</w:t>
      </w:r>
    </w:p>
    <w:p w14:paraId="6EED9284">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themeColor="text1"/>
          <w:spacing w:val="0"/>
          <w:sz w:val="32"/>
          <w:szCs w:val="32"/>
          <w:u w:val="none"/>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市级</w:t>
      </w:r>
      <w:r>
        <w:rPr>
          <w:rFonts w:ascii="Times New Roman" w:hAnsi="Times New Roman" w:eastAsia="仿宋_GB2312" w:cs="Times New Roman"/>
          <w:color w:val="000000" w:themeColor="text1"/>
          <w:sz w:val="32"/>
          <w:szCs w:val="32"/>
          <w:u w:val="none"/>
          <w14:textFill>
            <w14:solidFill>
              <w14:schemeClr w14:val="tx1"/>
            </w14:solidFill>
          </w14:textFill>
        </w:rPr>
        <w:t>医疗保障经办机构应</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按照有关规定组织各县（市、区）医疗保障经办机构</w:t>
      </w:r>
      <w:r>
        <w:rPr>
          <w:rFonts w:ascii="Times New Roman" w:hAnsi="Times New Roman" w:eastAsia="仿宋_GB2312" w:cs="Times New Roman"/>
          <w:color w:val="000000" w:themeColor="text1"/>
          <w:sz w:val="32"/>
          <w:szCs w:val="32"/>
          <w:u w:val="none"/>
          <w14:textFill>
            <w14:solidFill>
              <w14:schemeClr w14:val="tx1"/>
            </w14:solidFill>
          </w14:textFill>
        </w:rPr>
        <w:t>对定点医药机构组织开展绩效考核，建立动态管理机制。考核结果作为年终清算、协议续签的依据。</w:t>
      </w:r>
    </w:p>
    <w:p w14:paraId="1DACABC3">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rPr>
          <w:rFonts w:hint="eastAsia" w:ascii="Times New Roman" w:hAnsi="Times New Roman" w:eastAsia="仿宋_GB2312" w:cs="Times New Roman"/>
          <w:i w:val="0"/>
          <w:iCs w:val="0"/>
          <w:caps w:val="0"/>
          <w:color w:val="000000" w:themeColor="text1"/>
          <w:spacing w:val="0"/>
          <w:sz w:val="32"/>
          <w:szCs w:val="32"/>
          <w:u w:val="none"/>
          <w14:textFill>
            <w14:solidFill>
              <w14:schemeClr w14:val="tx1"/>
            </w14:solidFill>
          </w14:textFill>
        </w:rPr>
      </w:pPr>
    </w:p>
    <w:p w14:paraId="6D34DF50">
      <w:pPr>
        <w:keepNext w:val="0"/>
        <w:keepLines w:val="0"/>
        <w:pageBreakBefore w:val="0"/>
        <w:widowControl w:val="0"/>
        <w:numPr>
          <w:ilvl w:val="0"/>
          <w:numId w:val="1"/>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黑体" w:cs="Times New Roman"/>
          <w:b w:val="0"/>
          <w:bCs/>
          <w:color w:val="000000" w:themeColor="text1"/>
          <w:kern w:val="2"/>
          <w:sz w:val="32"/>
          <w:szCs w:val="32"/>
          <w:u w:val="none"/>
          <w:lang w:val="en-US" w:eastAsia="zh-CN" w:bidi="ar-SA"/>
          <w14:textFill>
            <w14:solidFill>
              <w14:schemeClr w14:val="tx1"/>
            </w14:solidFill>
          </w14:textFill>
        </w:rPr>
      </w:pPr>
      <w:r>
        <w:rPr>
          <w:rFonts w:hint="eastAsia" w:ascii="Times New Roman" w:hAnsi="Times New Roman" w:eastAsia="黑体" w:cs="Times New Roman"/>
          <w:b w:val="0"/>
          <w:bCs/>
          <w:color w:val="000000" w:themeColor="text1"/>
          <w:kern w:val="2"/>
          <w:sz w:val="32"/>
          <w:szCs w:val="32"/>
          <w:u w:val="none"/>
          <w:lang w:val="en-US" w:eastAsia="zh-CN" w:bidi="ar-SA"/>
          <w14:textFill>
            <w14:solidFill>
              <w14:schemeClr w14:val="tx1"/>
            </w14:solidFill>
          </w14:textFill>
        </w:rPr>
        <w:t>经办服务和费用管理</w:t>
      </w:r>
    </w:p>
    <w:p w14:paraId="42591959">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医疗保障经办机构按属地原则</w:t>
      </w:r>
      <w:r>
        <w:rPr>
          <w:rFonts w:ascii="Times New Roman" w:hAnsi="Times New Roman" w:eastAsia="仿宋_GB2312" w:cs="Times New Roman"/>
          <w:color w:val="000000" w:themeColor="text1"/>
          <w:sz w:val="32"/>
          <w:szCs w:val="32"/>
          <w:u w:val="none"/>
          <w14:textFill>
            <w14:solidFill>
              <w14:schemeClr w14:val="tx1"/>
            </w14:solidFill>
          </w14:textFill>
        </w:rPr>
        <w:t>与定点医药机构签订服务协议，规范医药服务行为，明确违反服务协议的行为及其责任。</w:t>
      </w:r>
    </w:p>
    <w:p w14:paraId="25BE7BCD">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strike w:val="0"/>
          <w:dstrike w:val="0"/>
          <w:color w:val="000000" w:themeColor="text1"/>
          <w:sz w:val="32"/>
          <w:szCs w:val="32"/>
          <w:u w:val="none"/>
          <w14:textFill>
            <w14:solidFill>
              <w14:schemeClr w14:val="tx1"/>
            </w14:solidFill>
          </w14:textFill>
        </w:rPr>
      </w:pPr>
      <w:r>
        <w:rPr>
          <w:rFonts w:hint="eastAsia" w:ascii="Times New Roman" w:hAnsi="Times New Roman" w:eastAsia="仿宋_GB2312" w:cs="Times New Roman"/>
          <w:b/>
          <w:bCs w:val="0"/>
          <w:strike w:val="0"/>
          <w:dstrike w:val="0"/>
          <w:snapToGrid w:val="0"/>
          <w:color w:val="000000" w:themeColor="text1"/>
          <w:sz w:val="32"/>
          <w:szCs w:val="32"/>
          <w:u w:val="none"/>
          <w:lang w:val="en-US" w:eastAsia="zh-CN" w:bidi="ar-SA"/>
          <w14:textFill>
            <w14:solidFill>
              <w14:schemeClr w14:val="tx1"/>
            </w14:solidFill>
          </w14:textFill>
        </w:rPr>
        <w:t xml:space="preserve"> </w:t>
      </w:r>
      <w:r>
        <w:rPr>
          <w:rFonts w:hint="eastAsia" w:ascii="Times New Roman" w:hAnsi="Times New Roman" w:eastAsia="仿宋_GB2312" w:cs="Times New Roman"/>
          <w:strike w:val="0"/>
          <w:dstrike w:val="0"/>
          <w:color w:val="000000" w:themeColor="text1"/>
          <w:sz w:val="32"/>
          <w:szCs w:val="32"/>
          <w:u w:val="none"/>
          <w:lang w:eastAsia="zh-CN"/>
          <w14:textFill>
            <w14:solidFill>
              <w14:schemeClr w14:val="tx1"/>
            </w14:solidFill>
          </w14:textFill>
        </w:rPr>
        <w:t>市级</w:t>
      </w:r>
      <w:r>
        <w:rPr>
          <w:rFonts w:ascii="Times New Roman" w:hAnsi="Times New Roman" w:eastAsia="仿宋_GB2312" w:cs="Times New Roman"/>
          <w:strike w:val="0"/>
          <w:dstrike w:val="0"/>
          <w:color w:val="000000" w:themeColor="text1"/>
          <w:sz w:val="32"/>
          <w:szCs w:val="32"/>
          <w:u w:val="none"/>
          <w14:textFill>
            <w14:solidFill>
              <w14:schemeClr w14:val="tx1"/>
            </w14:solidFill>
          </w14:textFill>
        </w:rPr>
        <w:t>医疗保障经办机构应当合理确定定点医药机构的医疗保障基金预算金额和拨付时限，向社会公开医保信息系统数据集、接口标准和定点医药机构名单。</w:t>
      </w:r>
    </w:p>
    <w:p w14:paraId="134179FA">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hint="eastAsia" w:ascii="Times New Roman" w:hAnsi="Times New Roman" w:eastAsia="仿宋_GB2312" w:cs="Times New Roman"/>
          <w:color w:val="000000" w:themeColor="text1"/>
          <w:sz w:val="32"/>
          <w:szCs w:val="32"/>
          <w:u w:val="none"/>
          <w14:textFill>
            <w14:solidFill>
              <w14:schemeClr w14:val="tx1"/>
            </w14:solidFill>
          </w14:textFill>
        </w:rPr>
        <w:t xml:space="preserve"> </w:t>
      </w:r>
      <w:r>
        <w:rPr>
          <w:rFonts w:ascii="Times New Roman" w:hAnsi="Times New Roman" w:eastAsia="仿宋_GB2312" w:cs="Times New Roman"/>
          <w:color w:val="000000" w:themeColor="text1"/>
          <w:sz w:val="32"/>
          <w:szCs w:val="32"/>
          <w:u w:val="none"/>
          <w14:textFill>
            <w14:solidFill>
              <w14:schemeClr w14:val="tx1"/>
            </w14:solidFill>
          </w14:textFill>
        </w:rPr>
        <w:t>定点医疗机构应当执行分级诊疗制度，建立健全基层首诊、双向转诊、急慢分治、上下联动的就医秩序。急诊、抢救等特殊情形除外。</w:t>
      </w:r>
    </w:p>
    <w:p w14:paraId="3EC3279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参保人员在</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同一天同一</w:t>
      </w:r>
      <w:r>
        <w:rPr>
          <w:rFonts w:ascii="Times New Roman" w:hAnsi="Times New Roman" w:eastAsia="仿宋_GB2312" w:cs="Times New Roman"/>
          <w:color w:val="000000" w:themeColor="text1"/>
          <w:sz w:val="32"/>
          <w:szCs w:val="32"/>
          <w:u w:val="none"/>
          <w14:textFill>
            <w14:solidFill>
              <w14:schemeClr w14:val="tx1"/>
            </w14:solidFill>
          </w14:textFill>
        </w:rPr>
        <w:t>治疗过程中因病情需要</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在同一个医共（联）体内定点医疗机构</w:t>
      </w:r>
      <w:r>
        <w:rPr>
          <w:rFonts w:ascii="Times New Roman" w:hAnsi="Times New Roman" w:eastAsia="仿宋_GB2312" w:cs="Times New Roman"/>
          <w:color w:val="000000" w:themeColor="text1"/>
          <w:sz w:val="32"/>
          <w:szCs w:val="32"/>
          <w:u w:val="none"/>
          <w14:textFill>
            <w14:solidFill>
              <w14:schemeClr w14:val="tx1"/>
            </w14:solidFill>
          </w14:textFill>
        </w:rPr>
        <w:t>双向转诊的，由低级别定点医疗机构转往高级别定点医疗机构，只补计起付标准差额；由高级别定点医疗机构转往同级别或低级别定点医疗机构，不再另计起付标准。转诊转院由医疗机构按照政策规定办理。</w:t>
      </w:r>
    </w:p>
    <w:p w14:paraId="5FA4561A">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firstLine="616" w:firstLineChars="200"/>
        <w:jc w:val="both"/>
        <w:textAlignment w:val="auto"/>
        <w:rPr>
          <w:rFonts w:hint="eastAsia"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pPr>
      <w:r>
        <w:rPr>
          <w:rStyle w:val="17"/>
          <w:rFonts w:hint="eastAsia" w:ascii="Times New Roman" w:hAnsi="Times New Roman" w:eastAsia="黑体" w:cs="Times New Roman"/>
          <w:b w:val="0"/>
          <w:bCs/>
          <w:strike w:val="0"/>
          <w:dstrike w:val="0"/>
          <w:color w:val="000000" w:themeColor="text1"/>
          <w:kern w:val="0"/>
          <w:sz w:val="32"/>
          <w:szCs w:val="32"/>
          <w:lang w:val="en-US" w:eastAsia="zh-CN" w:bidi="ar"/>
          <w14:textFill>
            <w14:solidFill>
              <w14:schemeClr w14:val="tx1"/>
            </w14:solidFill>
          </w14:textFill>
        </w:rPr>
        <w:t xml:space="preserve"> </w:t>
      </w:r>
      <w:r>
        <w:rPr>
          <w:rFonts w:hint="eastAsia" w:ascii="Times New Roman" w:hAnsi="Times New Roman" w:eastAsia="仿宋_GB2312" w:cs="Times New Roman"/>
          <w:strike w:val="0"/>
          <w:dstrike w:val="0"/>
          <w:color w:val="000000" w:themeColor="text1"/>
          <w:sz w:val="32"/>
          <w:szCs w:val="32"/>
          <w14:textFill>
            <w14:solidFill>
              <w14:schemeClr w14:val="tx1"/>
            </w14:solidFill>
          </w14:textFill>
        </w:rPr>
        <w:t>参保人</w:t>
      </w:r>
      <w:r>
        <w:rPr>
          <w:rFonts w:hint="eastAsia" w:ascii="Times New Roman" w:hAnsi="Times New Roman" w:eastAsia="仿宋_GB2312" w:cs="Times New Roman"/>
          <w:strike w:val="0"/>
          <w:dstrike w:val="0"/>
          <w:color w:val="000000" w:themeColor="text1"/>
          <w:sz w:val="32"/>
          <w:szCs w:val="32"/>
          <w:lang w:eastAsia="zh-CN"/>
          <w14:textFill>
            <w14:solidFill>
              <w14:schemeClr w14:val="tx1"/>
            </w14:solidFill>
          </w14:textFill>
        </w:rPr>
        <w:t>在联网的定点医疗机构就医购药（或凭选定的</w:t>
      </w:r>
      <w:r>
        <w:rPr>
          <w:rFonts w:hint="eastAsia" w:ascii="Times New Roman" w:hAnsi="Times New Roman" w:eastAsia="仿宋_GB2312" w:cs="Times New Roman"/>
          <w:strike w:val="0"/>
          <w:dstrike w:val="0"/>
          <w:color w:val="000000" w:themeColor="text1"/>
          <w:sz w:val="32"/>
          <w:szCs w:val="32"/>
          <w14:textFill>
            <w14:solidFill>
              <w14:schemeClr w14:val="tx1"/>
            </w14:solidFill>
          </w14:textFill>
        </w:rPr>
        <w:t>医疗机构外配处方、就医凭证</w:t>
      </w:r>
      <w:r>
        <w:rPr>
          <w:rFonts w:hint="eastAsia" w:ascii="Times New Roman" w:hAnsi="Times New Roman" w:eastAsia="仿宋_GB2312" w:cs="Times New Roman"/>
          <w:strike w:val="0"/>
          <w:dstrike w:val="0"/>
          <w:color w:val="000000" w:themeColor="text1"/>
          <w:sz w:val="32"/>
          <w:szCs w:val="32"/>
          <w:lang w:eastAsia="zh-CN"/>
          <w14:textFill>
            <w14:solidFill>
              <w14:schemeClr w14:val="tx1"/>
            </w14:solidFill>
          </w14:textFill>
        </w:rPr>
        <w:t>在符合规定的定点</w:t>
      </w:r>
      <w:r>
        <w:rPr>
          <w:rFonts w:hint="eastAsia" w:ascii="Times New Roman" w:hAnsi="Times New Roman" w:eastAsia="仿宋_GB2312" w:cs="Times New Roman"/>
          <w:strike w:val="0"/>
          <w:dstrike w:val="0"/>
          <w:color w:val="000000" w:themeColor="text1"/>
          <w:sz w:val="32"/>
          <w:szCs w:val="32"/>
          <w14:textFill>
            <w14:solidFill>
              <w14:schemeClr w14:val="tx1"/>
            </w14:solidFill>
          </w14:textFill>
        </w:rPr>
        <w:t>零售药店配药</w:t>
      </w:r>
      <w:r>
        <w:rPr>
          <w:rFonts w:hint="eastAsia" w:ascii="Times New Roman" w:hAnsi="Times New Roman" w:eastAsia="仿宋_GB2312" w:cs="Times New Roman"/>
          <w:strike w:val="0"/>
          <w:dstrike w:val="0"/>
          <w:color w:val="000000" w:themeColor="text1"/>
          <w:sz w:val="32"/>
          <w:szCs w:val="32"/>
          <w:lang w:eastAsia="zh-CN"/>
          <w14:textFill>
            <w14:solidFill>
              <w14:schemeClr w14:val="tx1"/>
            </w14:solidFill>
          </w14:textFill>
        </w:rPr>
        <w:t>）实行即时结算，属于个人支付部分的，由参保人与定点医药机构直接结算；属于统筹基金支付部分的，由定点医药机构先予记账，每月汇总后向医保经办机构申报结算</w:t>
      </w:r>
      <w:r>
        <w:rPr>
          <w:rFonts w:hint="eastAsia" w:ascii="Times New Roman" w:hAnsi="Times New Roman" w:eastAsia="仿宋_GB2312" w:cs="Times New Roman"/>
          <w:strike w:val="0"/>
          <w:dstrike w:val="0"/>
          <w:color w:val="000000" w:themeColor="text1"/>
          <w:sz w:val="32"/>
          <w:szCs w:val="32"/>
          <w14:textFill>
            <w14:solidFill>
              <w14:schemeClr w14:val="tx1"/>
            </w14:solidFill>
          </w14:textFill>
        </w:rPr>
        <w:t>。</w:t>
      </w:r>
      <w:r>
        <w:rPr>
          <w:rFonts w:hint="eastAsia" w:ascii="Times New Roman" w:hAnsi="Times New Roman" w:eastAsia="仿宋_GB2312" w:cs="Times New Roman"/>
          <w:strike w:val="0"/>
          <w:dstrike w:val="0"/>
          <w:color w:val="000000" w:themeColor="text1"/>
          <w:sz w:val="32"/>
          <w:szCs w:val="32"/>
          <w:lang w:eastAsia="zh-CN"/>
          <w14:textFill>
            <w14:solidFill>
              <w14:schemeClr w14:val="tx1"/>
            </w14:solidFill>
          </w14:textFill>
        </w:rPr>
        <w:t>未能实现即时结算的，发生的医疗费用由参保人先行垫付，再凭相关资料到参保地医保经办机构按规定报销。</w:t>
      </w:r>
    </w:p>
    <w:p w14:paraId="1DBBDDE8">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trike/>
          <w:dstrike w:val="0"/>
          <w:color w:val="000000" w:themeColor="text1"/>
          <w:sz w:val="32"/>
          <w:szCs w:val="32"/>
          <w:u w:val="none"/>
          <w14:textFill>
            <w14:solidFill>
              <w14:schemeClr w14:val="tx1"/>
            </w14:solidFill>
          </w14:textFill>
        </w:rPr>
      </w:pPr>
      <w:r>
        <w:rPr>
          <w:rFonts w:ascii="Times New Roman" w:hAnsi="Times New Roman" w:eastAsia="仿宋_GB2312" w:cs="Times New Roman"/>
          <w:strike w:val="0"/>
          <w:dstrike w:val="0"/>
          <w:color w:val="000000" w:themeColor="text1"/>
          <w:sz w:val="32"/>
          <w:szCs w:val="32"/>
          <w:u w:val="none"/>
          <w14:textFill>
            <w14:solidFill>
              <w14:schemeClr w14:val="tx1"/>
            </w14:solidFill>
          </w14:textFill>
        </w:rPr>
        <w:t xml:space="preserve"> 定点医药机构应当优化医保结算流程，为参保人员提供便捷的医疗服务，按规定进行医保费用直接结算，提供费用结算单据和相关资料。为符合规定的参保人员提供转诊转院服务。</w:t>
      </w:r>
    </w:p>
    <w:p w14:paraId="563EA1A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trike w:val="0"/>
          <w:dstrike w:val="0"/>
          <w:color w:val="000000" w:themeColor="text1"/>
          <w:sz w:val="32"/>
          <w:szCs w:val="32"/>
          <w:u w:val="none"/>
          <w14:textFill>
            <w14:solidFill>
              <w14:schemeClr w14:val="tx1"/>
            </w14:solidFill>
          </w14:textFill>
        </w:rPr>
      </w:pPr>
      <w:r>
        <w:rPr>
          <w:rFonts w:ascii="Times New Roman" w:hAnsi="Times New Roman" w:eastAsia="仿宋_GB2312" w:cs="Times New Roman"/>
          <w:strike w:val="0"/>
          <w:dstrike w:val="0"/>
          <w:color w:val="000000" w:themeColor="text1"/>
          <w:sz w:val="32"/>
          <w:szCs w:val="32"/>
          <w:u w:val="none"/>
          <w14:textFill>
            <w14:solidFill>
              <w14:schemeClr w14:val="tx1"/>
            </w14:solidFill>
          </w14:textFill>
        </w:rPr>
        <w:t>参保人员在异地定点医疗机构就医的，通过异地就医结算平台实行即时结算；不能实现异地就医即时结算的，</w:t>
      </w:r>
      <w:r>
        <w:rPr>
          <w:rFonts w:hint="eastAsia" w:ascii="Times New Roman" w:hAnsi="Times New Roman" w:eastAsia="仿宋_GB2312" w:cs="Times New Roman"/>
          <w:strike w:val="0"/>
          <w:dstrike w:val="0"/>
          <w:color w:val="000000" w:themeColor="text1"/>
          <w:sz w:val="32"/>
          <w:szCs w:val="32"/>
          <w:u w:val="none"/>
          <w:lang w:eastAsia="zh-CN"/>
          <w14:textFill>
            <w14:solidFill>
              <w14:schemeClr w14:val="tx1"/>
            </w14:solidFill>
          </w14:textFill>
        </w:rPr>
        <w:t>定点医药机构应当指引参保人员办理补记账手续，参保人员未到定点医药机构办理补记账手续的，</w:t>
      </w:r>
      <w:r>
        <w:rPr>
          <w:rFonts w:ascii="Times New Roman" w:hAnsi="Times New Roman" w:eastAsia="仿宋_GB2312" w:cs="Times New Roman"/>
          <w:strike w:val="0"/>
          <w:dstrike w:val="0"/>
          <w:color w:val="000000" w:themeColor="text1"/>
          <w:sz w:val="32"/>
          <w:szCs w:val="32"/>
          <w:u w:val="none"/>
          <w14:textFill>
            <w14:solidFill>
              <w14:schemeClr w14:val="tx1"/>
            </w14:solidFill>
          </w14:textFill>
        </w:rPr>
        <w:t>由个人全额垫付，</w:t>
      </w:r>
      <w:r>
        <w:rPr>
          <w:rFonts w:hint="eastAsia" w:ascii="Times New Roman" w:hAnsi="Times New Roman" w:eastAsia="仿宋_GB2312" w:cs="Times New Roman"/>
          <w:strike w:val="0"/>
          <w:dstrike w:val="0"/>
          <w:color w:val="000000" w:themeColor="text1"/>
          <w:sz w:val="32"/>
          <w:szCs w:val="32"/>
          <w:u w:val="none"/>
          <w:lang w:eastAsia="zh-CN"/>
          <w14:textFill>
            <w14:solidFill>
              <w14:schemeClr w14:val="tx1"/>
            </w14:solidFill>
          </w14:textFill>
        </w:rPr>
        <w:t>原则上于出院后</w:t>
      </w:r>
      <w:r>
        <w:rPr>
          <w:rFonts w:hint="eastAsia" w:ascii="Times New Roman" w:hAnsi="Times New Roman" w:eastAsia="仿宋_GB2312" w:cs="Times New Roman"/>
          <w:strike w:val="0"/>
          <w:dstrike w:val="0"/>
          <w:color w:val="000000" w:themeColor="text1"/>
          <w:sz w:val="32"/>
          <w:szCs w:val="32"/>
          <w:u w:val="none"/>
          <w:lang w:val="en-US" w:eastAsia="zh-CN"/>
          <w14:textFill>
            <w14:solidFill>
              <w14:schemeClr w14:val="tx1"/>
            </w14:solidFill>
          </w14:textFill>
        </w:rPr>
        <w:t>6个月内</w:t>
      </w:r>
      <w:r>
        <w:rPr>
          <w:rFonts w:ascii="Times New Roman" w:hAnsi="Times New Roman" w:eastAsia="仿宋_GB2312" w:cs="Times New Roman"/>
          <w:strike w:val="0"/>
          <w:dstrike w:val="0"/>
          <w:color w:val="000000" w:themeColor="text1"/>
          <w:sz w:val="32"/>
          <w:szCs w:val="32"/>
          <w:u w:val="none"/>
          <w14:textFill>
            <w14:solidFill>
              <w14:schemeClr w14:val="tx1"/>
            </w14:solidFill>
          </w14:textFill>
        </w:rPr>
        <w:t>凭结算票据、费用清单、出院证明等原始资料到参保地医疗保障经办机构申请结算。</w:t>
      </w:r>
    </w:p>
    <w:p w14:paraId="6398E20C">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trike w:val="0"/>
          <w:dstrike w:val="0"/>
          <w:color w:val="000000" w:themeColor="text1"/>
          <w:sz w:val="32"/>
          <w:szCs w:val="32"/>
          <w:u w:val="none"/>
          <w14:textFill>
            <w14:solidFill>
              <w14:schemeClr w14:val="tx1"/>
            </w14:solidFill>
          </w14:textFill>
        </w:rPr>
      </w:pPr>
      <w:r>
        <w:rPr>
          <w:rFonts w:ascii="Times New Roman" w:hAnsi="Times New Roman" w:eastAsia="仿宋_GB2312" w:cs="Times New Roman"/>
          <w:strike w:val="0"/>
          <w:dstrike w:val="0"/>
          <w:color w:val="000000" w:themeColor="text1"/>
          <w:sz w:val="32"/>
          <w:szCs w:val="32"/>
          <w:u w:val="none"/>
          <w14:textFill>
            <w14:solidFill>
              <w14:schemeClr w14:val="tx1"/>
            </w14:solidFill>
          </w14:textFill>
        </w:rPr>
        <w:t xml:space="preserve"> 定点医药机构应当配备医保管理人员，与医疗保障经办机构共同做好医保服务工作。对参保人员的医疗保险费用实行单独建账，并按要求真实、及时、准确地向医疗保障经办机构提供参保人员医疗保险费用等有关信息。</w:t>
      </w:r>
    </w:p>
    <w:p w14:paraId="3496E6D0">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trike/>
          <w:dstrike w:val="0"/>
          <w:color w:val="000000" w:themeColor="text1"/>
          <w:sz w:val="32"/>
          <w:szCs w:val="32"/>
          <w:u w:val="none"/>
          <w14:textFill>
            <w14:solidFill>
              <w14:schemeClr w14:val="tx1"/>
            </w14:solidFill>
          </w14:textFill>
        </w:rPr>
      </w:pPr>
      <w:r>
        <w:rPr>
          <w:rFonts w:ascii="Times New Roman" w:hAnsi="Times New Roman" w:eastAsia="仿宋_GB2312" w:cs="Times New Roman"/>
          <w:strike w:val="0"/>
          <w:dstrike w:val="0"/>
          <w:color w:val="000000" w:themeColor="text1"/>
          <w:sz w:val="32"/>
          <w:szCs w:val="32"/>
          <w:u w:val="none"/>
          <w14:textFill>
            <w14:solidFill>
              <w14:schemeClr w14:val="tx1"/>
            </w14:solidFill>
          </w14:textFill>
        </w:rPr>
        <w:t xml:space="preserve"> 定点医药机构应按规定将医药费用信息及时上传至医保信息系统，并按月向医疗保障经办机构申报结算医药费用。</w:t>
      </w:r>
    </w:p>
    <w:p w14:paraId="559A30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仿宋_GB2312" w:cs="Times New Roman"/>
          <w:color w:val="000000" w:themeColor="text1"/>
          <w:sz w:val="32"/>
          <w:szCs w:val="32"/>
          <w:u w:val="none"/>
          <w14:textFill>
            <w14:solidFill>
              <w14:schemeClr w14:val="tx1"/>
            </w14:solidFill>
          </w14:textFill>
        </w:rPr>
        <w:t>医疗保障经办机构应当按照服务协议的约定，及时结算和拨付医疗保障基金。</w:t>
      </w:r>
    </w:p>
    <w:p w14:paraId="2E7876F2">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b w:val="0"/>
          <w:bCs/>
          <w:color w:val="000000" w:themeColor="text1"/>
          <w:kern w:val="2"/>
          <w:sz w:val="32"/>
          <w:szCs w:val="32"/>
          <w:u w:val="none"/>
          <w:lang w:val="en-US" w:eastAsia="zh-CN" w:bidi="ar-SA"/>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u w:val="none"/>
          <w14:textFill>
            <w14:solidFill>
              <w14:schemeClr w14:val="tx1"/>
            </w14:solidFill>
          </w14:textFill>
        </w:rPr>
        <w:t>基本医疗保险基金与定点医疗机构的医疗费用结算，住院实行总额预算管理下的以按病种分值付费为主的多元复合医保支付方式，普通门诊实行总额预算管理下的按人头付费</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和按项目付费相结合的方式结算</w:t>
      </w:r>
      <w:r>
        <w:rPr>
          <w:rFonts w:hint="eastAsia" w:ascii="Times New Roman" w:hAnsi="Times New Roman" w:eastAsia="仿宋_GB2312" w:cs="Times New Roman"/>
          <w:color w:val="000000" w:themeColor="text1"/>
          <w:sz w:val="32"/>
          <w:szCs w:val="32"/>
          <w:u w:val="none"/>
          <w14:textFill>
            <w14:solidFill>
              <w14:schemeClr w14:val="tx1"/>
            </w14:solidFill>
          </w14:textFill>
        </w:rPr>
        <w:t>。</w:t>
      </w:r>
    </w:p>
    <w:p w14:paraId="34C32E51">
      <w:pPr>
        <w:pStyle w:val="1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both"/>
        <w:textAlignment w:val="baseline"/>
        <w:rPr>
          <w:rFonts w:hint="eastAsia" w:ascii="Times New Roman" w:hAnsi="Times New Roman" w:eastAsia="仿宋_GB2312" w:cs="Times New Roman"/>
          <w:i w:val="0"/>
          <w:iCs w:val="0"/>
          <w:caps w:val="0"/>
          <w:color w:val="000000" w:themeColor="text1"/>
          <w:spacing w:val="0"/>
          <w:sz w:val="32"/>
          <w:szCs w:val="32"/>
          <w:u w:val="none"/>
          <w14:textFill>
            <w14:solidFill>
              <w14:schemeClr w14:val="tx1"/>
            </w14:solidFill>
          </w14:textFill>
        </w:rPr>
      </w:pPr>
    </w:p>
    <w:p w14:paraId="54ABA9E3">
      <w:pPr>
        <w:pStyle w:val="12"/>
        <w:keepNext w:val="0"/>
        <w:keepLines w:val="0"/>
        <w:pageBreakBefore w:val="0"/>
        <w:widowControl w:val="0"/>
        <w:numPr>
          <w:ilvl w:val="0"/>
          <w:numId w:val="1"/>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aseline"/>
        <w:rPr>
          <w:rFonts w:hint="eastAsia" w:ascii="Times New Roman" w:hAnsi="Times New Roman" w:eastAsia="黑体" w:cs="Times New Roman"/>
          <w:b w:val="0"/>
          <w:bCs/>
          <w:i w:val="0"/>
          <w:iCs w:val="0"/>
          <w:caps w:val="0"/>
          <w:color w:val="000000" w:themeColor="text1"/>
          <w:spacing w:val="0"/>
          <w:sz w:val="32"/>
          <w:szCs w:val="32"/>
          <w:u w:val="none"/>
          <w14:textFill>
            <w14:solidFill>
              <w14:schemeClr w14:val="tx1"/>
            </w14:solidFill>
          </w14:textFill>
        </w:rPr>
      </w:pPr>
      <w:r>
        <w:rPr>
          <w:rStyle w:val="17"/>
          <w:rFonts w:hint="eastAsia" w:ascii="Times New Roman" w:hAnsi="Times New Roman" w:eastAsia="黑体" w:cs="Times New Roman"/>
          <w:b w:val="0"/>
          <w:bCs/>
          <w:i w:val="0"/>
          <w:iCs w:val="0"/>
          <w:caps w:val="0"/>
          <w:color w:val="000000" w:themeColor="text1"/>
          <w:spacing w:val="0"/>
          <w:sz w:val="32"/>
          <w:szCs w:val="32"/>
          <w:u w:val="none"/>
          <w:vertAlign w:val="baseline"/>
          <w14:textFill>
            <w14:solidFill>
              <w14:schemeClr w14:val="tx1"/>
            </w14:solidFill>
          </w14:textFill>
        </w:rPr>
        <w:t>附则</w:t>
      </w:r>
    </w:p>
    <w:p w14:paraId="7AE2C302">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本办法所称困难群众</w:t>
      </w: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是</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指特困人员、孤儿、事实无人抚养儿童、最低生活保障对象、最低生活保障边缘家庭成员、纳入监测范围的农村易返贫致贫人口。</w:t>
      </w:r>
    </w:p>
    <w:p w14:paraId="01AB909B">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 xml:space="preserve"> 本办法所称儿童是指不满14周岁的未成年人，儿童先天性心脏病包括心腔和心连接的先天性畸形、心间隔先天性畸形、肺动脉瓣和三尖瓣先天性畸形、主动脉瓣和二尖瓣先天性畸形、心脏的其他先天性畸形、大动脉先天性畸形、大静脉先天性畸形。罕见病根据《罕见病目录》实行动态调整。</w:t>
      </w:r>
    </w:p>
    <w:p w14:paraId="37E38E8C">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 xml:space="preserve"> 精神分裂症、分裂情感性障碍、持久的妄想性障碍（偏执性精神病）、双相（情感）障碍、癫痫所致精神障碍和精神发育迟滞伴发精神障碍等6种重性精神疾病因病情需要异地就医的，按本市同级别医疗机构支付比例报销。</w:t>
      </w:r>
    </w:p>
    <w:p w14:paraId="0CA5E696">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我市基本医疗保险制度有关筹资方式、筹资标准、缴费费率、起付标准、支付比例和支付限额等方面的调整，由市</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医保</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部门会同市财政等部门根据国家和省有关规定，结合我市经济社会发展、医疗费用水平、</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基本医疗保险</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基金运行等情况适时提出调整方案，报市人民政府</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、省医疗保障局</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审定后</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另行发文组织</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实施。</w:t>
      </w:r>
    </w:p>
    <w:p w14:paraId="520CA009">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仿宋_GB2312" w:cs="Times New Roman"/>
          <w:i w:val="0"/>
          <w:iCs w:val="0"/>
          <w:caps w:val="0"/>
          <w:color w:val="000000" w:themeColor="text1"/>
          <w:spacing w:val="0"/>
          <w:sz w:val="32"/>
          <w:szCs w:val="32"/>
          <w:highlight w:val="none"/>
          <w:u w:val="no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医保</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14:textFill>
            <w14:solidFill>
              <w14:schemeClr w14:val="tx1"/>
            </w14:solidFill>
          </w14:textFill>
        </w:rPr>
        <w:t>经办规程由</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市医保经办</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14:textFill>
            <w14:solidFill>
              <w14:schemeClr w14:val="tx1"/>
            </w14:solidFill>
          </w14:textFill>
        </w:rPr>
        <w:t>部门另行制定。</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定点医疗机构开展门特病种待遇认定等经办管理服务按《广东省医疗保险门诊特定病种业务经办规程》执行。</w:t>
      </w:r>
    </w:p>
    <w:p w14:paraId="19A7BFF1">
      <w:pPr>
        <w:pStyle w:val="12"/>
        <w:keepNext w:val="0"/>
        <w:keepLines w:val="0"/>
        <w:pageBreakBefore w:val="0"/>
        <w:widowControl w:val="0"/>
        <w:numPr>
          <w:ilvl w:val="0"/>
          <w:numId w:val="3"/>
        </w:numPr>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 xml:space="preserve"> </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14:textFill>
            <w14:solidFill>
              <w14:schemeClr w14:val="tx1"/>
            </w14:solidFill>
          </w14:textFill>
        </w:rPr>
        <w:t>本办法自</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2026年10月1日</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14:textFill>
            <w14:solidFill>
              <w14:schemeClr w14:val="tx1"/>
            </w14:solidFill>
          </w14:textFill>
        </w:rPr>
        <w:t>起施行，有效期</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至</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2031年9月30日止</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揭阳市人民政府关于印发揭阳市职工基本医疗保险实施办法的通知</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》（揭府规〔</w:t>
      </w: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2022</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6号</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同时废止。</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办法施行后</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与本办法不一致的</w:t>
      </w: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规定</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，按本办法</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14:textFill>
            <w14:solidFill>
              <w14:schemeClr w14:val="tx1"/>
            </w14:solidFill>
          </w14:textFill>
        </w:rPr>
        <w:t>执行。国家和省</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lang w:val="en-US" w:eastAsia="zh-CN"/>
          <w14:textFill>
            <w14:solidFill>
              <w14:schemeClr w14:val="tx1"/>
            </w14:solidFill>
          </w14:textFill>
        </w:rPr>
        <w:t>市</w:t>
      </w:r>
      <w:r>
        <w:rPr>
          <w:rFonts w:hint="eastAsia" w:ascii="Times New Roman" w:hAnsi="Times New Roman" w:eastAsia="仿宋_GB2312" w:cs="Times New Roman"/>
          <w:i w:val="0"/>
          <w:iCs w:val="0"/>
          <w:caps w:val="0"/>
          <w:color w:val="000000" w:themeColor="text1"/>
          <w:spacing w:val="0"/>
          <w:sz w:val="32"/>
          <w:szCs w:val="32"/>
          <w:highlight w:val="none"/>
          <w:u w:val="none"/>
          <w:vertAlign w:val="baseline"/>
          <w14:textFill>
            <w14:solidFill>
              <w14:schemeClr w14:val="tx1"/>
            </w14:solidFill>
          </w14:textFill>
        </w:rPr>
        <w:t>有新</w:t>
      </w:r>
      <w:r>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t>规定的，从其规定。</w:t>
      </w:r>
    </w:p>
    <w:p w14:paraId="1014CC38">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tabs>
          <w:tab w:val="left" w:pos="0"/>
        </w:tabs>
        <w:kinsoku/>
        <w:overflowPunct/>
        <w:topLinePunct w:val="0"/>
        <w:autoSpaceDE/>
        <w:autoSpaceDN/>
        <w:bidi w:val="0"/>
        <w:adjustRightInd/>
        <w:snapToGrid/>
        <w:spacing w:before="0" w:beforeAutospacing="0" w:after="0" w:afterAutospacing="0" w:line="560" w:lineRule="exact"/>
        <w:ind w:leftChars="200" w:right="0" w:rightChars="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14:textFill>
            <w14:solidFill>
              <w14:schemeClr w14:val="tx1"/>
            </w14:solidFill>
          </w14:textFill>
        </w:rPr>
      </w:pPr>
    </w:p>
    <w:p w14:paraId="5ADC1440">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before="0" w:beforeAutospacing="0" w:after="0" w:afterAutospacing="0" w:line="560" w:lineRule="exact"/>
        <w:ind w:left="2253" w:leftChars="304" w:right="0" w:rightChars="0" w:hanging="1280" w:hangingChars="40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eastAsia="zh-CN"/>
          <w14:textFill>
            <w14:solidFill>
              <w14:schemeClr w14:val="tx1"/>
            </w14:solidFill>
          </w14:textFill>
        </w:rPr>
        <w:t>附件：</w:t>
      </w: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1</w:t>
      </w:r>
      <w:r>
        <w:rPr>
          <w:rFonts w:hint="eastAsia" w:ascii="Times New Roman" w:hAnsi="Times New Roman" w:cs="Times New Roman"/>
          <w:i w:val="0"/>
          <w:iCs w:val="0"/>
          <w:caps w:val="0"/>
          <w:color w:val="000000" w:themeColor="text1"/>
          <w:spacing w:val="0"/>
          <w:sz w:val="32"/>
          <w:szCs w:val="32"/>
          <w:u w:val="none"/>
          <w:vertAlign w:val="baseline"/>
          <w:lang w:val="en-US"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揭阳市基本医疗保险门诊特定病种待遇标准及费</w:t>
      </w:r>
    </w:p>
    <w:p w14:paraId="2EE64777">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before="0" w:beforeAutospacing="0" w:after="0" w:afterAutospacing="0" w:line="560" w:lineRule="exact"/>
        <w:ind w:left="2141" w:leftChars="669" w:right="0" w:rightChars="0" w:firstLine="0" w:firstLineChars="0"/>
        <w:jc w:val="both"/>
        <w:textAlignment w:val="baseline"/>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用限额表</w:t>
      </w:r>
    </w:p>
    <w:p w14:paraId="5C2D7130">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tabs>
          <w:tab w:val="left" w:pos="1920"/>
        </w:tabs>
        <w:kinsoku/>
        <w:wordWrap/>
        <w:overflowPunct/>
        <w:topLinePunct w:val="0"/>
        <w:autoSpaceDE/>
        <w:autoSpaceDN/>
        <w:bidi w:val="0"/>
        <w:adjustRightInd/>
        <w:snapToGrid/>
        <w:spacing w:before="0" w:beforeAutospacing="0" w:after="0" w:afterAutospacing="0" w:line="560" w:lineRule="exact"/>
        <w:ind w:left="1980" w:leftChars="575" w:right="0" w:rightChars="0" w:hanging="140" w:hangingChars="44"/>
        <w:jc w:val="both"/>
        <w:textAlignment w:val="baseline"/>
        <w:rPr>
          <w:rFonts w:hint="default"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sectPr>
          <w:headerReference r:id="rId3" w:type="default"/>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hapStyle="1"/>
          <w:cols w:space="0" w:num="1"/>
          <w:rtlGutter w:val="0"/>
          <w:docGrid w:type="lines" w:linePitch="312" w:charSpace="0"/>
        </w:sectPr>
      </w:pPr>
      <w:r>
        <w:rPr>
          <w:rFonts w:hint="eastAsia" w:ascii="Times New Roman" w:hAnsi="Times New Roman" w:eastAsia="仿宋_GB2312" w:cs="Times New Roman"/>
          <w:i w:val="0"/>
          <w:iCs w:val="0"/>
          <w:caps w:val="0"/>
          <w:color w:val="000000" w:themeColor="text1"/>
          <w:spacing w:val="0"/>
          <w:sz w:val="32"/>
          <w:szCs w:val="32"/>
          <w:u w:val="none"/>
          <w:vertAlign w:val="baseline"/>
          <w:lang w:val="en-US" w:eastAsia="zh-CN"/>
          <w14:textFill>
            <w14:solidFill>
              <w14:schemeClr w14:val="tx1"/>
            </w14:solidFill>
          </w14:textFill>
        </w:rPr>
        <w:t>2.揭阳市定点医疗机构门诊特定病种服务资格条件</w:t>
      </w:r>
    </w:p>
    <w:tbl>
      <w:tblPr>
        <w:tblStyle w:val="13"/>
        <w:tblW w:w="10340" w:type="dxa"/>
        <w:tblInd w:w="-788" w:type="dxa"/>
        <w:tblLayout w:type="fixed"/>
        <w:tblCellMar>
          <w:top w:w="0" w:type="dxa"/>
          <w:left w:w="108" w:type="dxa"/>
          <w:bottom w:w="0" w:type="dxa"/>
          <w:right w:w="108" w:type="dxa"/>
        </w:tblCellMar>
      </w:tblPr>
      <w:tblGrid>
        <w:gridCol w:w="730"/>
        <w:gridCol w:w="3539"/>
        <w:gridCol w:w="1274"/>
        <w:gridCol w:w="1192"/>
        <w:gridCol w:w="1070"/>
        <w:gridCol w:w="1178"/>
        <w:gridCol w:w="1357"/>
      </w:tblGrid>
      <w:tr w14:paraId="018E8369">
        <w:tblPrEx>
          <w:tblCellMar>
            <w:top w:w="0" w:type="dxa"/>
            <w:left w:w="108" w:type="dxa"/>
            <w:bottom w:w="0" w:type="dxa"/>
            <w:right w:w="108" w:type="dxa"/>
          </w:tblCellMar>
        </w:tblPrEx>
        <w:trPr>
          <w:cantSplit/>
          <w:trHeight w:val="2327" w:hRule="atLeast"/>
        </w:trPr>
        <w:tc>
          <w:tcPr>
            <w:tcW w:w="10340" w:type="dxa"/>
            <w:gridSpan w:val="7"/>
            <w:tcBorders>
              <w:top w:val="nil"/>
              <w:left w:val="nil"/>
              <w:bottom w:val="single" w:color="auto" w:sz="4" w:space="0"/>
              <w:right w:val="nil"/>
            </w:tcBorders>
            <w:noWrap w:val="0"/>
            <w:vAlign w:val="center"/>
          </w:tcPr>
          <w:p w14:paraId="2012442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jc w:val="left"/>
              <w:textAlignment w:val="center"/>
              <w:rPr>
                <w:rFonts w:hint="eastAsia" w:ascii="Times New Roman" w:hAnsi="Times New Roman" w:eastAsia="黑体" w:cs="Times New Roman"/>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黑体" w:cs="Times New Roman"/>
                <w:i w:val="0"/>
                <w:iCs w:val="0"/>
                <w:color w:val="000000" w:themeColor="text1"/>
                <w:kern w:val="0"/>
                <w:sz w:val="32"/>
                <w:szCs w:val="32"/>
                <w:u w:val="none"/>
                <w:lang w:val="en-US" w:eastAsia="zh-CN" w:bidi="ar"/>
                <w14:textFill>
                  <w14:solidFill>
                    <w14:schemeClr w14:val="tx1"/>
                  </w14:solidFill>
                </w14:textFill>
              </w:rPr>
              <w:t>附件1</w:t>
            </w:r>
          </w:p>
          <w:p w14:paraId="6E75FD0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jc w:val="center"/>
              <w:textAlignment w:val="center"/>
              <w:rPr>
                <w:rFonts w:hint="eastAsia" w:ascii="Times New Roman" w:hAnsi="Times New Roman" w:eastAsia="方正小标宋简体" w:cs="Times New Roman"/>
                <w:i w:val="0"/>
                <w:iCs w:val="0"/>
                <w:color w:val="000000" w:themeColor="text1"/>
                <w:kern w:val="0"/>
                <w:sz w:val="44"/>
                <w:szCs w:val="44"/>
                <w:u w:val="none"/>
                <w:lang w:val="en-US" w:eastAsia="zh-CN" w:bidi="ar"/>
                <w14:textFill>
                  <w14:solidFill>
                    <w14:schemeClr w14:val="tx1"/>
                  </w14:solidFill>
                </w14:textFill>
              </w:rPr>
            </w:pPr>
          </w:p>
          <w:p w14:paraId="755E7F5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jc w:val="center"/>
              <w:textAlignment w:val="center"/>
              <w:rPr>
                <w:rFonts w:hint="eastAsia" w:ascii="Times New Roman" w:hAnsi="Times New Roman" w:eastAsia="方正小标宋简体" w:cs="Times New Roman"/>
                <w:i w:val="0"/>
                <w:iCs w:val="0"/>
                <w:color w:val="000000" w:themeColor="text1"/>
                <w:kern w:val="0"/>
                <w:sz w:val="44"/>
                <w:szCs w:val="44"/>
                <w:u w:val="none"/>
                <w:lang w:val="en-US" w:eastAsia="zh-CN" w:bidi="ar"/>
                <w14:textFill>
                  <w14:solidFill>
                    <w14:schemeClr w14:val="tx1"/>
                  </w14:solidFill>
                </w14:textFill>
              </w:rPr>
            </w:pPr>
            <w:r>
              <w:rPr>
                <w:rFonts w:hint="eastAsia" w:ascii="Times New Roman" w:hAnsi="Times New Roman" w:eastAsia="方正小标宋简体" w:cs="Times New Roman"/>
                <w:i w:val="0"/>
                <w:iCs w:val="0"/>
                <w:color w:val="000000" w:themeColor="text1"/>
                <w:kern w:val="0"/>
                <w:sz w:val="44"/>
                <w:szCs w:val="44"/>
                <w:u w:val="none"/>
                <w:lang w:val="en-US" w:eastAsia="zh-CN" w:bidi="ar"/>
                <w14:textFill>
                  <w14:solidFill>
                    <w14:schemeClr w14:val="tx1"/>
                  </w14:solidFill>
                </w14:textFill>
              </w:rPr>
              <w:t>揭阳市基本医疗保险门诊特定病种</w:t>
            </w:r>
          </w:p>
          <w:p w14:paraId="34C30CA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jc w:val="center"/>
              <w:textAlignment w:val="center"/>
              <w:rPr>
                <w:rFonts w:ascii="Times New Roman" w:hAnsi="Times New Roman" w:eastAsia="方正小标宋简体" w:cs="Times New Roman"/>
                <w:i w:val="0"/>
                <w:iCs w:val="0"/>
                <w:color w:val="000000" w:themeColor="text1"/>
                <w:sz w:val="40"/>
                <w:szCs w:val="40"/>
                <w:u w:val="none"/>
                <w14:textFill>
                  <w14:solidFill>
                    <w14:schemeClr w14:val="tx1"/>
                  </w14:solidFill>
                </w14:textFill>
              </w:rPr>
            </w:pPr>
            <w:r>
              <w:rPr>
                <w:rFonts w:hint="eastAsia" w:ascii="Times New Roman" w:hAnsi="Times New Roman" w:eastAsia="方正小标宋简体" w:cs="Times New Roman"/>
                <w:i w:val="0"/>
                <w:iCs w:val="0"/>
                <w:color w:val="000000" w:themeColor="text1"/>
                <w:kern w:val="0"/>
                <w:sz w:val="44"/>
                <w:szCs w:val="44"/>
                <w:u w:val="none"/>
                <w:lang w:val="en-US" w:eastAsia="zh-CN" w:bidi="ar"/>
                <w14:textFill>
                  <w14:solidFill>
                    <w14:schemeClr w14:val="tx1"/>
                  </w14:solidFill>
                </w14:textFill>
              </w:rPr>
              <w:t>待遇标准及费用限额表</w:t>
            </w:r>
          </w:p>
        </w:tc>
      </w:tr>
      <w:tr w14:paraId="5EC172C2">
        <w:tblPrEx>
          <w:tblCellMar>
            <w:top w:w="0" w:type="dxa"/>
            <w:left w:w="108" w:type="dxa"/>
            <w:bottom w:w="0" w:type="dxa"/>
            <w:right w:w="108" w:type="dxa"/>
          </w:tblCellMar>
        </w:tblPrEx>
        <w:trPr>
          <w:cantSplit/>
          <w:trHeight w:val="191" w:hRule="atLeast"/>
        </w:trPr>
        <w:tc>
          <w:tcPr>
            <w:tcW w:w="730" w:type="dxa"/>
            <w:vMerge w:val="restart"/>
            <w:tcBorders>
              <w:top w:val="single" w:color="auto" w:sz="4" w:space="0"/>
              <w:left w:val="single" w:color="auto" w:sz="4" w:space="0"/>
              <w:bottom w:val="single" w:color="auto" w:sz="4" w:space="0"/>
              <w:right w:val="single" w:color="auto" w:sz="4" w:space="0"/>
            </w:tcBorders>
            <w:noWrap w:val="0"/>
            <w:vAlign w:val="center"/>
          </w:tcPr>
          <w:p w14:paraId="07E62C1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黑体" w:hAnsi="黑体" w:eastAsia="黑体" w:cs="黑体"/>
                <w:b/>
                <w:bCs/>
                <w:i w:val="0"/>
                <w:iCs w:val="0"/>
                <w:color w:val="000000" w:themeColor="text1"/>
                <w:sz w:val="24"/>
                <w:szCs w:val="24"/>
                <w:u w:val="none"/>
                <w14:textFill>
                  <w14:solidFill>
                    <w14:schemeClr w14:val="tx1"/>
                  </w14:solidFill>
                </w14:textFill>
              </w:rPr>
            </w:pPr>
            <w:r>
              <w:rPr>
                <w:rFonts w:hint="eastAsia" w:ascii="黑体" w:hAnsi="黑体" w:eastAsia="黑体" w:cs="黑体"/>
                <w:b/>
                <w:bCs/>
                <w:i w:val="0"/>
                <w:iCs w:val="0"/>
                <w:color w:val="000000" w:themeColor="text1"/>
                <w:kern w:val="0"/>
                <w:sz w:val="24"/>
                <w:szCs w:val="24"/>
                <w:u w:val="none"/>
                <w:lang w:val="en-US" w:eastAsia="zh-CN" w:bidi="ar"/>
                <w14:textFill>
                  <w14:solidFill>
                    <w14:schemeClr w14:val="tx1"/>
                  </w14:solidFill>
                </w14:textFill>
              </w:rPr>
              <w:t>序号</w:t>
            </w:r>
          </w:p>
        </w:tc>
        <w:tc>
          <w:tcPr>
            <w:tcW w:w="3539" w:type="dxa"/>
            <w:vMerge w:val="restart"/>
            <w:tcBorders>
              <w:top w:val="single" w:color="auto" w:sz="4" w:space="0"/>
              <w:left w:val="single" w:color="auto" w:sz="4" w:space="0"/>
              <w:bottom w:val="single" w:color="auto" w:sz="4" w:space="0"/>
              <w:right w:val="single" w:color="auto" w:sz="4" w:space="0"/>
            </w:tcBorders>
            <w:noWrap w:val="0"/>
            <w:vAlign w:val="center"/>
          </w:tcPr>
          <w:p w14:paraId="17D66F1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黑体" w:hAnsi="黑体" w:eastAsia="黑体" w:cs="黑体"/>
                <w:b/>
                <w:bCs/>
                <w:i w:val="0"/>
                <w:iCs w:val="0"/>
                <w:color w:val="000000" w:themeColor="text1"/>
                <w:sz w:val="24"/>
                <w:szCs w:val="24"/>
                <w:u w:val="none"/>
                <w14:textFill>
                  <w14:solidFill>
                    <w14:schemeClr w14:val="tx1"/>
                  </w14:solidFill>
                </w14:textFill>
              </w:rPr>
            </w:pPr>
            <w:r>
              <w:rPr>
                <w:rFonts w:hint="eastAsia" w:ascii="黑体" w:hAnsi="黑体" w:eastAsia="黑体" w:cs="黑体"/>
                <w:b/>
                <w:bCs/>
                <w:i w:val="0"/>
                <w:iCs w:val="0"/>
                <w:color w:val="000000" w:themeColor="text1"/>
                <w:kern w:val="0"/>
                <w:sz w:val="24"/>
                <w:szCs w:val="24"/>
                <w:u w:val="none"/>
                <w:lang w:val="en-US" w:eastAsia="zh-CN" w:bidi="ar"/>
                <w14:textFill>
                  <w14:solidFill>
                    <w14:schemeClr w14:val="tx1"/>
                  </w14:solidFill>
                </w14:textFill>
              </w:rPr>
              <w:t>疾病种类及治疗方式</w:t>
            </w:r>
          </w:p>
        </w:tc>
        <w:tc>
          <w:tcPr>
            <w:tcW w:w="1274" w:type="dxa"/>
            <w:vMerge w:val="restart"/>
            <w:tcBorders>
              <w:top w:val="single" w:color="auto" w:sz="4" w:space="0"/>
              <w:left w:val="single" w:color="auto" w:sz="4" w:space="0"/>
              <w:bottom w:val="single" w:color="auto" w:sz="4" w:space="0"/>
              <w:right w:val="single" w:color="auto" w:sz="4" w:space="0"/>
            </w:tcBorders>
            <w:noWrap w:val="0"/>
            <w:vAlign w:val="center"/>
          </w:tcPr>
          <w:p w14:paraId="403FDA07">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黑体" w:hAnsi="黑体" w:eastAsia="黑体" w:cs="黑体"/>
                <w:b/>
                <w:bCs/>
                <w:i w:val="0"/>
                <w:iCs w:val="0"/>
                <w:color w:val="000000" w:themeColor="text1"/>
                <w:sz w:val="24"/>
                <w:szCs w:val="24"/>
                <w:u w:val="none"/>
                <w14:textFill>
                  <w14:solidFill>
                    <w14:schemeClr w14:val="tx1"/>
                  </w14:solidFill>
                </w14:textFill>
              </w:rPr>
            </w:pPr>
            <w:r>
              <w:rPr>
                <w:rFonts w:hint="eastAsia" w:ascii="黑体" w:hAnsi="黑体" w:eastAsia="黑体" w:cs="黑体"/>
                <w:b/>
                <w:bCs/>
                <w:i w:val="0"/>
                <w:iCs w:val="0"/>
                <w:color w:val="000000" w:themeColor="text1"/>
                <w:kern w:val="0"/>
                <w:sz w:val="24"/>
                <w:szCs w:val="24"/>
                <w:u w:val="none"/>
                <w:lang w:val="en-US" w:eastAsia="zh-CN" w:bidi="ar"/>
                <w14:textFill>
                  <w14:solidFill>
                    <w14:schemeClr w14:val="tx1"/>
                  </w14:solidFill>
                </w14:textFill>
              </w:rPr>
              <w:t>统筹基金支付比例</w:t>
            </w:r>
          </w:p>
        </w:tc>
        <w:tc>
          <w:tcPr>
            <w:tcW w:w="2262" w:type="dxa"/>
            <w:gridSpan w:val="2"/>
            <w:tcBorders>
              <w:top w:val="single" w:color="auto" w:sz="4" w:space="0"/>
              <w:left w:val="single" w:color="auto" w:sz="4" w:space="0"/>
              <w:bottom w:val="single" w:color="auto" w:sz="4" w:space="0"/>
              <w:right w:val="single" w:color="auto" w:sz="4" w:space="0"/>
            </w:tcBorders>
            <w:noWrap w:val="0"/>
            <w:vAlign w:val="center"/>
          </w:tcPr>
          <w:p w14:paraId="00EDDDE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黑体" w:hAnsi="黑体" w:eastAsia="黑体" w:cs="黑体"/>
                <w:b/>
                <w:bCs/>
                <w:i w:val="0"/>
                <w:iCs w:val="0"/>
                <w:color w:val="000000" w:themeColor="text1"/>
                <w:sz w:val="24"/>
                <w:szCs w:val="24"/>
                <w:u w:val="none"/>
                <w14:textFill>
                  <w14:solidFill>
                    <w14:schemeClr w14:val="tx1"/>
                  </w14:solidFill>
                </w14:textFill>
              </w:rPr>
            </w:pPr>
            <w:r>
              <w:rPr>
                <w:rFonts w:hint="eastAsia" w:ascii="黑体" w:hAnsi="黑体" w:eastAsia="黑体" w:cs="黑体"/>
                <w:b/>
                <w:bCs/>
                <w:i w:val="0"/>
                <w:iCs w:val="0"/>
                <w:color w:val="000000" w:themeColor="text1"/>
                <w:kern w:val="0"/>
                <w:sz w:val="24"/>
                <w:szCs w:val="24"/>
                <w:u w:val="none"/>
                <w:lang w:val="en-US" w:eastAsia="zh-CN" w:bidi="ar"/>
                <w14:textFill>
                  <w14:solidFill>
                    <w14:schemeClr w14:val="tx1"/>
                  </w14:solidFill>
                </w14:textFill>
              </w:rPr>
              <w:t>最高支付限额（元）</w:t>
            </w:r>
          </w:p>
        </w:tc>
        <w:tc>
          <w:tcPr>
            <w:tcW w:w="1178" w:type="dxa"/>
            <w:vMerge w:val="restart"/>
            <w:tcBorders>
              <w:top w:val="single" w:color="auto" w:sz="4" w:space="0"/>
              <w:left w:val="single" w:color="auto" w:sz="4" w:space="0"/>
              <w:bottom w:val="single" w:color="auto" w:sz="4" w:space="0"/>
              <w:right w:val="single" w:color="auto" w:sz="4" w:space="0"/>
            </w:tcBorders>
            <w:noWrap w:val="0"/>
            <w:vAlign w:val="center"/>
          </w:tcPr>
          <w:p w14:paraId="5197028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黑体" w:hAnsi="黑体" w:eastAsia="黑体" w:cs="黑体"/>
                <w:b/>
                <w:bCs/>
                <w:i w:val="0"/>
                <w:iCs w:val="0"/>
                <w:color w:val="000000" w:themeColor="text1"/>
                <w:sz w:val="24"/>
                <w:szCs w:val="24"/>
                <w:u w:val="none"/>
                <w14:textFill>
                  <w14:solidFill>
                    <w14:schemeClr w14:val="tx1"/>
                  </w14:solidFill>
                </w14:textFill>
              </w:rPr>
            </w:pPr>
            <w:r>
              <w:rPr>
                <w:rFonts w:hint="eastAsia" w:ascii="黑体" w:hAnsi="黑体" w:eastAsia="黑体" w:cs="黑体"/>
                <w:b/>
                <w:bCs/>
                <w:i w:val="0"/>
                <w:iCs w:val="0"/>
                <w:color w:val="000000" w:themeColor="text1"/>
                <w:kern w:val="0"/>
                <w:sz w:val="24"/>
                <w:szCs w:val="24"/>
                <w:u w:val="none"/>
                <w:lang w:val="en-US" w:eastAsia="zh-CN" w:bidi="ar"/>
                <w14:textFill>
                  <w14:solidFill>
                    <w14:schemeClr w14:val="tx1"/>
                  </w14:solidFill>
                </w14:textFill>
              </w:rPr>
              <w:t>待遇享受有效期</w:t>
            </w:r>
          </w:p>
        </w:tc>
        <w:tc>
          <w:tcPr>
            <w:tcW w:w="1357" w:type="dxa"/>
            <w:vMerge w:val="restart"/>
            <w:tcBorders>
              <w:top w:val="single" w:color="auto" w:sz="4" w:space="0"/>
              <w:left w:val="single" w:color="auto" w:sz="4" w:space="0"/>
              <w:bottom w:val="single" w:color="auto" w:sz="4" w:space="0"/>
              <w:right w:val="single" w:color="auto" w:sz="4" w:space="0"/>
            </w:tcBorders>
            <w:noWrap w:val="0"/>
            <w:vAlign w:val="center"/>
          </w:tcPr>
          <w:p w14:paraId="520E073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黑体" w:hAnsi="黑体" w:eastAsia="黑体" w:cs="黑体"/>
                <w:b/>
                <w:bCs/>
                <w:i w:val="0"/>
                <w:iCs w:val="0"/>
                <w:color w:val="000000" w:themeColor="text1"/>
                <w:sz w:val="24"/>
                <w:szCs w:val="24"/>
                <w:u w:val="none"/>
                <w14:textFill>
                  <w14:solidFill>
                    <w14:schemeClr w14:val="tx1"/>
                  </w14:solidFill>
                </w14:textFill>
              </w:rPr>
            </w:pPr>
            <w:r>
              <w:rPr>
                <w:rFonts w:hint="eastAsia" w:ascii="黑体" w:hAnsi="黑体" w:eastAsia="黑体" w:cs="黑体"/>
                <w:b/>
                <w:bCs/>
                <w:i w:val="0"/>
                <w:iCs w:val="0"/>
                <w:color w:val="000000" w:themeColor="text1"/>
                <w:kern w:val="0"/>
                <w:sz w:val="24"/>
                <w:szCs w:val="24"/>
                <w:u w:val="none"/>
                <w:lang w:val="en-US" w:eastAsia="zh-CN" w:bidi="ar"/>
                <w14:textFill>
                  <w14:solidFill>
                    <w14:schemeClr w14:val="tx1"/>
                  </w14:solidFill>
                </w14:textFill>
              </w:rPr>
              <w:t>备    注</w:t>
            </w:r>
          </w:p>
        </w:tc>
      </w:tr>
      <w:tr w14:paraId="61BB3091">
        <w:tblPrEx>
          <w:tblCellMar>
            <w:top w:w="0" w:type="dxa"/>
            <w:left w:w="108" w:type="dxa"/>
            <w:bottom w:w="0" w:type="dxa"/>
            <w:right w:w="108" w:type="dxa"/>
          </w:tblCellMar>
        </w:tblPrEx>
        <w:trPr>
          <w:cantSplit/>
          <w:trHeight w:val="150" w:hRule="atLeast"/>
        </w:trPr>
        <w:tc>
          <w:tcPr>
            <w:tcW w:w="730" w:type="dxa"/>
            <w:vMerge w:val="continue"/>
            <w:tcBorders>
              <w:top w:val="single" w:color="auto" w:sz="4" w:space="0"/>
              <w:left w:val="single" w:color="auto" w:sz="4" w:space="0"/>
              <w:bottom w:val="single" w:color="auto" w:sz="4" w:space="0"/>
              <w:right w:val="single" w:color="auto" w:sz="4" w:space="0"/>
            </w:tcBorders>
            <w:noWrap w:val="0"/>
            <w:vAlign w:val="center"/>
          </w:tcPr>
          <w:p w14:paraId="559A75C1">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eastAsia="黑体" w:cs="Times New Roman"/>
                <w:i w:val="0"/>
                <w:iCs w:val="0"/>
                <w:color w:val="000000" w:themeColor="text1"/>
                <w:sz w:val="22"/>
                <w:szCs w:val="22"/>
                <w:u w:val="none"/>
                <w14:textFill>
                  <w14:solidFill>
                    <w14:schemeClr w14:val="tx1"/>
                  </w14:solidFill>
                </w14:textFill>
              </w:rPr>
            </w:pPr>
          </w:p>
        </w:tc>
        <w:tc>
          <w:tcPr>
            <w:tcW w:w="3539" w:type="dxa"/>
            <w:vMerge w:val="continue"/>
            <w:tcBorders>
              <w:top w:val="single" w:color="auto" w:sz="4" w:space="0"/>
              <w:left w:val="single" w:color="auto" w:sz="4" w:space="0"/>
              <w:bottom w:val="single" w:color="auto" w:sz="4" w:space="0"/>
              <w:right w:val="single" w:color="auto" w:sz="4" w:space="0"/>
            </w:tcBorders>
            <w:noWrap w:val="0"/>
            <w:vAlign w:val="center"/>
          </w:tcPr>
          <w:p w14:paraId="22241741">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eastAsia="黑体" w:cs="Times New Roman"/>
                <w:i w:val="0"/>
                <w:iCs w:val="0"/>
                <w:color w:val="000000" w:themeColor="text1"/>
                <w:sz w:val="22"/>
                <w:szCs w:val="22"/>
                <w:u w:val="none"/>
                <w14:textFill>
                  <w14:solidFill>
                    <w14:schemeClr w14:val="tx1"/>
                  </w14:solidFill>
                </w14:textFill>
              </w:rPr>
            </w:pPr>
          </w:p>
        </w:tc>
        <w:tc>
          <w:tcPr>
            <w:tcW w:w="1274" w:type="dxa"/>
            <w:vMerge w:val="continue"/>
            <w:tcBorders>
              <w:top w:val="single" w:color="auto" w:sz="4" w:space="0"/>
              <w:left w:val="single" w:color="auto" w:sz="4" w:space="0"/>
              <w:bottom w:val="single" w:color="auto" w:sz="4" w:space="0"/>
              <w:right w:val="single" w:color="auto" w:sz="4" w:space="0"/>
            </w:tcBorders>
            <w:noWrap w:val="0"/>
            <w:vAlign w:val="center"/>
          </w:tcPr>
          <w:p w14:paraId="34B07165">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714DCF3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黑体" w:hAnsi="黑体" w:eastAsia="黑体" w:cs="黑体"/>
                <w:b/>
                <w:bCs/>
                <w:i w:val="0"/>
                <w:iCs w:val="0"/>
                <w:color w:val="000000" w:themeColor="text1"/>
                <w:sz w:val="24"/>
                <w:szCs w:val="24"/>
                <w:u w:val="none"/>
                <w14:textFill>
                  <w14:solidFill>
                    <w14:schemeClr w14:val="tx1"/>
                  </w14:solidFill>
                </w14:textFill>
              </w:rPr>
            </w:pPr>
            <w:r>
              <w:rPr>
                <w:rFonts w:hint="eastAsia" w:ascii="黑体" w:hAnsi="黑体" w:eastAsia="黑体" w:cs="黑体"/>
                <w:b/>
                <w:bCs/>
                <w:i w:val="0"/>
                <w:iCs w:val="0"/>
                <w:color w:val="000000" w:themeColor="text1"/>
                <w:kern w:val="0"/>
                <w:sz w:val="24"/>
                <w:szCs w:val="24"/>
                <w:u w:val="none"/>
                <w:lang w:val="en-US" w:eastAsia="zh-CN" w:bidi="ar"/>
                <w14:textFill>
                  <w14:solidFill>
                    <w14:schemeClr w14:val="tx1"/>
                  </w14:solidFill>
                </w14:textFill>
              </w:rPr>
              <w:t>职工</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81EAB8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黑体" w:hAnsi="黑体" w:eastAsia="黑体" w:cs="黑体"/>
                <w:b/>
                <w:bCs/>
                <w:i w:val="0"/>
                <w:iCs w:val="0"/>
                <w:color w:val="000000" w:themeColor="text1"/>
                <w:sz w:val="24"/>
                <w:szCs w:val="24"/>
                <w:u w:val="none"/>
                <w14:textFill>
                  <w14:solidFill>
                    <w14:schemeClr w14:val="tx1"/>
                  </w14:solidFill>
                </w14:textFill>
              </w:rPr>
            </w:pPr>
            <w:r>
              <w:rPr>
                <w:rFonts w:hint="eastAsia" w:ascii="黑体" w:hAnsi="黑体" w:eastAsia="黑体" w:cs="黑体"/>
                <w:b/>
                <w:bCs/>
                <w:i w:val="0"/>
                <w:iCs w:val="0"/>
                <w:color w:val="000000" w:themeColor="text1"/>
                <w:kern w:val="0"/>
                <w:sz w:val="24"/>
                <w:szCs w:val="24"/>
                <w:u w:val="none"/>
                <w:lang w:val="en-US" w:eastAsia="zh-CN" w:bidi="ar"/>
                <w14:textFill>
                  <w14:solidFill>
                    <w14:schemeClr w14:val="tx1"/>
                  </w14:solidFill>
                </w14:textFill>
              </w:rPr>
              <w:t>居民</w:t>
            </w:r>
          </w:p>
        </w:tc>
        <w:tc>
          <w:tcPr>
            <w:tcW w:w="1178" w:type="dxa"/>
            <w:vMerge w:val="continue"/>
            <w:tcBorders>
              <w:top w:val="single" w:color="auto" w:sz="4" w:space="0"/>
              <w:left w:val="single" w:color="auto" w:sz="4" w:space="0"/>
              <w:bottom w:val="single" w:color="auto" w:sz="4" w:space="0"/>
              <w:right w:val="single" w:color="auto" w:sz="4" w:space="0"/>
            </w:tcBorders>
            <w:noWrap w:val="0"/>
            <w:vAlign w:val="center"/>
          </w:tcPr>
          <w:p w14:paraId="0C80DBD7">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7" w:type="dxa"/>
            <w:vMerge w:val="continue"/>
            <w:tcBorders>
              <w:top w:val="single" w:color="auto" w:sz="4" w:space="0"/>
              <w:left w:val="single" w:color="auto" w:sz="4" w:space="0"/>
              <w:bottom w:val="single" w:color="auto" w:sz="4" w:space="0"/>
              <w:right w:val="single" w:color="auto" w:sz="4" w:space="0"/>
            </w:tcBorders>
            <w:noWrap w:val="0"/>
            <w:vAlign w:val="center"/>
          </w:tcPr>
          <w:p w14:paraId="7D497A82">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eastAsia="黑体" w:cs="Times New Roman"/>
                <w:i w:val="0"/>
                <w:iCs w:val="0"/>
                <w:color w:val="000000" w:themeColor="text1"/>
                <w:sz w:val="22"/>
                <w:szCs w:val="22"/>
                <w:u w:val="none"/>
                <w14:textFill>
                  <w14:solidFill>
                    <w14:schemeClr w14:val="tx1"/>
                  </w14:solidFill>
                </w14:textFill>
              </w:rPr>
            </w:pPr>
          </w:p>
        </w:tc>
      </w:tr>
      <w:tr w14:paraId="79DBF25D">
        <w:tblPrEx>
          <w:tblCellMar>
            <w:top w:w="0" w:type="dxa"/>
            <w:left w:w="108" w:type="dxa"/>
            <w:bottom w:w="0" w:type="dxa"/>
            <w:right w:w="108" w:type="dxa"/>
          </w:tblCellMar>
        </w:tblPrEx>
        <w:trPr>
          <w:cantSplit/>
          <w:trHeight w:val="165"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1C97C2D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449B53C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慢性阻塞性肺疾病</w:t>
            </w:r>
          </w:p>
        </w:tc>
        <w:tc>
          <w:tcPr>
            <w:tcW w:w="1274" w:type="dxa"/>
            <w:vMerge w:val="restart"/>
            <w:tcBorders>
              <w:top w:val="single" w:color="auto" w:sz="4" w:space="0"/>
              <w:left w:val="single" w:color="auto" w:sz="4" w:space="0"/>
              <w:right w:val="single" w:color="auto" w:sz="4" w:space="0"/>
            </w:tcBorders>
            <w:noWrap w:val="0"/>
            <w:vAlign w:val="center"/>
          </w:tcPr>
          <w:p w14:paraId="326C1EE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参照住院</w:t>
            </w:r>
          </w:p>
          <w:p w14:paraId="6CD18A6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标准执行</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6F0BDE0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B6B6B5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7C15D7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23204A9F">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19153A9A">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5AB20BC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7C76BD9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高血压病</w:t>
            </w:r>
          </w:p>
        </w:tc>
        <w:tc>
          <w:tcPr>
            <w:tcW w:w="1274" w:type="dxa"/>
            <w:vMerge w:val="continue"/>
            <w:tcBorders>
              <w:left w:val="single" w:color="auto" w:sz="4" w:space="0"/>
              <w:right w:val="single" w:color="auto" w:sz="4" w:space="0"/>
            </w:tcBorders>
            <w:noWrap w:val="0"/>
            <w:vAlign w:val="center"/>
          </w:tcPr>
          <w:p w14:paraId="3713F087">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68D4517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093EC00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AB7939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65F6BC89">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1B3DFD0D">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6FCAD20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5DB1C62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冠心病</w:t>
            </w:r>
          </w:p>
        </w:tc>
        <w:tc>
          <w:tcPr>
            <w:tcW w:w="1274" w:type="dxa"/>
            <w:vMerge w:val="continue"/>
            <w:tcBorders>
              <w:left w:val="single" w:color="auto" w:sz="4" w:space="0"/>
              <w:right w:val="single" w:color="auto" w:sz="4" w:space="0"/>
            </w:tcBorders>
            <w:noWrap w:val="0"/>
            <w:vAlign w:val="center"/>
          </w:tcPr>
          <w:p w14:paraId="347E95B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0987E2A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7282F6E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2C04ADF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13ED4E8B">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697229D">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78230A1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1D05FC7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慢性心功能不全</w:t>
            </w:r>
          </w:p>
        </w:tc>
        <w:tc>
          <w:tcPr>
            <w:tcW w:w="1274" w:type="dxa"/>
            <w:vMerge w:val="continue"/>
            <w:tcBorders>
              <w:left w:val="single" w:color="auto" w:sz="4" w:space="0"/>
              <w:right w:val="single" w:color="auto" w:sz="4" w:space="0"/>
            </w:tcBorders>
            <w:noWrap w:val="0"/>
            <w:vAlign w:val="center"/>
          </w:tcPr>
          <w:p w14:paraId="1E8BF8F6">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1CDCA75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41CF00A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2C25EE8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1F05AF38">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5E2F1AF4">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49C7ECD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3AA237B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肝硬化（失代偿期）</w:t>
            </w:r>
          </w:p>
        </w:tc>
        <w:tc>
          <w:tcPr>
            <w:tcW w:w="1274" w:type="dxa"/>
            <w:vMerge w:val="continue"/>
            <w:tcBorders>
              <w:left w:val="single" w:color="auto" w:sz="4" w:space="0"/>
              <w:right w:val="single" w:color="auto" w:sz="4" w:space="0"/>
            </w:tcBorders>
            <w:noWrap w:val="0"/>
            <w:vAlign w:val="center"/>
          </w:tcPr>
          <w:p w14:paraId="7D0C0455">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0EA2A66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356BF83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11CB66B">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413E804C">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18B6FFFC">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42CF400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6</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05060362">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慢性肾功能不全（非透析治疗）</w:t>
            </w:r>
          </w:p>
        </w:tc>
        <w:tc>
          <w:tcPr>
            <w:tcW w:w="1274" w:type="dxa"/>
            <w:vMerge w:val="continue"/>
            <w:tcBorders>
              <w:left w:val="single" w:color="auto" w:sz="4" w:space="0"/>
              <w:right w:val="single" w:color="auto" w:sz="4" w:space="0"/>
            </w:tcBorders>
            <w:noWrap w:val="0"/>
            <w:vAlign w:val="center"/>
          </w:tcPr>
          <w:p w14:paraId="2F9BCFB7">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30CA1D4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5EAD9A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5FBEAB2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4082FBA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0D80E832">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5E7B8A0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7</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50DA2D9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糖尿病</w:t>
            </w:r>
          </w:p>
        </w:tc>
        <w:tc>
          <w:tcPr>
            <w:tcW w:w="1274" w:type="dxa"/>
            <w:vMerge w:val="continue"/>
            <w:tcBorders>
              <w:left w:val="single" w:color="auto" w:sz="4" w:space="0"/>
              <w:right w:val="single" w:color="auto" w:sz="4" w:space="0"/>
            </w:tcBorders>
            <w:noWrap w:val="0"/>
            <w:vAlign w:val="center"/>
          </w:tcPr>
          <w:p w14:paraId="41FEAC82">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7606B542">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0077C91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2684492">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126EAC5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1A67CFFF">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77B36A0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8</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3B6CAAF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类风湿关节炎</w:t>
            </w:r>
          </w:p>
        </w:tc>
        <w:tc>
          <w:tcPr>
            <w:tcW w:w="1274" w:type="dxa"/>
            <w:vMerge w:val="continue"/>
            <w:tcBorders>
              <w:left w:val="single" w:color="auto" w:sz="4" w:space="0"/>
              <w:right w:val="single" w:color="auto" w:sz="4" w:space="0"/>
            </w:tcBorders>
            <w:noWrap w:val="0"/>
            <w:vAlign w:val="center"/>
          </w:tcPr>
          <w:p w14:paraId="1F9122BE">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208A3B4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4AB1D3B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11D267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64C2929C">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3D0259A8">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2132293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9</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17F374F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帕金森病</w:t>
            </w:r>
          </w:p>
        </w:tc>
        <w:tc>
          <w:tcPr>
            <w:tcW w:w="1274" w:type="dxa"/>
            <w:vMerge w:val="continue"/>
            <w:tcBorders>
              <w:left w:val="single" w:color="auto" w:sz="4" w:space="0"/>
              <w:right w:val="single" w:color="auto" w:sz="4" w:space="0"/>
            </w:tcBorders>
            <w:noWrap w:val="0"/>
            <w:vAlign w:val="center"/>
          </w:tcPr>
          <w:p w14:paraId="2A57923F">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5894B14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636FB54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59E141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716C641B">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4A62896A">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4D3D1A2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10</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71B5763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癫痫</w:t>
            </w:r>
          </w:p>
        </w:tc>
        <w:tc>
          <w:tcPr>
            <w:tcW w:w="1274" w:type="dxa"/>
            <w:vMerge w:val="continue"/>
            <w:tcBorders>
              <w:left w:val="single" w:color="auto" w:sz="4" w:space="0"/>
              <w:right w:val="single" w:color="auto" w:sz="4" w:space="0"/>
            </w:tcBorders>
            <w:noWrap w:val="0"/>
            <w:vAlign w:val="center"/>
          </w:tcPr>
          <w:p w14:paraId="34252265">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53A1496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65D533F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6CBBB4B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1B387E7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599B39F">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37F9B2E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11</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07234CD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脑血管疾病后遗症</w:t>
            </w:r>
          </w:p>
        </w:tc>
        <w:tc>
          <w:tcPr>
            <w:tcW w:w="1274" w:type="dxa"/>
            <w:vMerge w:val="continue"/>
            <w:tcBorders>
              <w:left w:val="single" w:color="auto" w:sz="4" w:space="0"/>
              <w:right w:val="single" w:color="auto" w:sz="4" w:space="0"/>
            </w:tcBorders>
            <w:noWrap w:val="0"/>
            <w:vAlign w:val="center"/>
          </w:tcPr>
          <w:p w14:paraId="38E1EC89">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0E8AB82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1FE41FB">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3090FB0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4A78D7E6">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25B300B2">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6C61924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12</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7E12591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艾滋病</w:t>
            </w:r>
          </w:p>
        </w:tc>
        <w:tc>
          <w:tcPr>
            <w:tcW w:w="1274" w:type="dxa"/>
            <w:vMerge w:val="continue"/>
            <w:tcBorders>
              <w:left w:val="single" w:color="auto" w:sz="4" w:space="0"/>
              <w:right w:val="single" w:color="auto" w:sz="4" w:space="0"/>
            </w:tcBorders>
            <w:noWrap w:val="0"/>
            <w:vAlign w:val="center"/>
          </w:tcPr>
          <w:p w14:paraId="78705BEB">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0C3B199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48D9C4A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45A93A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2834862F">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392CFCDA">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3401DCD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13</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3AD945D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系统性红斑狼疮</w:t>
            </w:r>
          </w:p>
        </w:tc>
        <w:tc>
          <w:tcPr>
            <w:tcW w:w="1274" w:type="dxa"/>
            <w:vMerge w:val="continue"/>
            <w:tcBorders>
              <w:left w:val="single" w:color="auto" w:sz="4" w:space="0"/>
              <w:right w:val="single" w:color="auto" w:sz="4" w:space="0"/>
            </w:tcBorders>
            <w:noWrap w:val="0"/>
            <w:vAlign w:val="center"/>
          </w:tcPr>
          <w:p w14:paraId="5FC5C57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0A71663B">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1200/月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05AD20F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B42D9E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166A7662">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1E5A9A48">
        <w:tblPrEx>
          <w:tblCellMar>
            <w:top w:w="0" w:type="dxa"/>
            <w:left w:w="108" w:type="dxa"/>
            <w:bottom w:w="0" w:type="dxa"/>
            <w:right w:w="108" w:type="dxa"/>
          </w:tblCellMar>
        </w:tblPrEx>
        <w:trPr>
          <w:cantSplit/>
          <w:trHeight w:val="195"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07247C8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14</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34CD18E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肺动脉高压</w:t>
            </w:r>
          </w:p>
        </w:tc>
        <w:tc>
          <w:tcPr>
            <w:tcW w:w="1274" w:type="dxa"/>
            <w:vMerge w:val="continue"/>
            <w:tcBorders>
              <w:left w:val="single" w:color="auto" w:sz="4" w:space="0"/>
              <w:right w:val="single" w:color="auto" w:sz="4" w:space="0"/>
            </w:tcBorders>
            <w:noWrap w:val="0"/>
            <w:vAlign w:val="center"/>
          </w:tcPr>
          <w:p w14:paraId="290E5947">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7259683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67C411A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065B333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47569885">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27331818">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650DF68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15</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2DC1B37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支气管哮喘</w:t>
            </w:r>
          </w:p>
        </w:tc>
        <w:tc>
          <w:tcPr>
            <w:tcW w:w="1274" w:type="dxa"/>
            <w:vMerge w:val="continue"/>
            <w:tcBorders>
              <w:left w:val="single" w:color="auto" w:sz="4" w:space="0"/>
              <w:right w:val="single" w:color="auto" w:sz="4" w:space="0"/>
            </w:tcBorders>
            <w:noWrap w:val="0"/>
            <w:vAlign w:val="center"/>
          </w:tcPr>
          <w:p w14:paraId="60C58346">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236C15E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E5B063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3FF2A2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6DE97A58">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4889709E">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3EF6302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16</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0B43B1A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慢性乙型肝炎</w:t>
            </w:r>
          </w:p>
        </w:tc>
        <w:tc>
          <w:tcPr>
            <w:tcW w:w="1274" w:type="dxa"/>
            <w:vMerge w:val="continue"/>
            <w:tcBorders>
              <w:left w:val="single" w:color="auto" w:sz="4" w:space="0"/>
              <w:right w:val="single" w:color="auto" w:sz="4" w:space="0"/>
            </w:tcBorders>
            <w:noWrap w:val="0"/>
            <w:vAlign w:val="center"/>
          </w:tcPr>
          <w:p w14:paraId="1452B98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266BDAD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330367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923CCE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1C23E19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56264C1D">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358019B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17</w:t>
            </w:r>
          </w:p>
        </w:tc>
        <w:tc>
          <w:tcPr>
            <w:tcW w:w="35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DFB6A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肾脏移植术后抗排异治疗</w:t>
            </w:r>
          </w:p>
        </w:tc>
        <w:tc>
          <w:tcPr>
            <w:tcW w:w="1274" w:type="dxa"/>
            <w:vMerge w:val="continue"/>
            <w:tcBorders>
              <w:left w:val="single" w:color="auto" w:sz="4" w:space="0"/>
              <w:right w:val="single" w:color="auto" w:sz="4" w:space="0"/>
            </w:tcBorders>
            <w:shd w:val="clear" w:color="auto" w:fill="auto"/>
            <w:noWrap w:val="0"/>
            <w:vAlign w:val="center"/>
          </w:tcPr>
          <w:p w14:paraId="4C27309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03E83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5000/月</w:t>
            </w:r>
          </w:p>
        </w:tc>
        <w:tc>
          <w:tcPr>
            <w:tcW w:w="10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97740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3000/月</w:t>
            </w:r>
          </w:p>
        </w:tc>
        <w:tc>
          <w:tcPr>
            <w:tcW w:w="11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FD21F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27249853">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0BB29C45">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0E6A7DC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18</w:t>
            </w:r>
          </w:p>
        </w:tc>
        <w:tc>
          <w:tcPr>
            <w:tcW w:w="35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7A37F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造血干细胞移植后抗排异治疗</w:t>
            </w:r>
          </w:p>
        </w:tc>
        <w:tc>
          <w:tcPr>
            <w:tcW w:w="1274" w:type="dxa"/>
            <w:vMerge w:val="continue"/>
            <w:tcBorders>
              <w:left w:val="single" w:color="auto" w:sz="4" w:space="0"/>
              <w:right w:val="single" w:color="auto" w:sz="4" w:space="0"/>
            </w:tcBorders>
            <w:noWrap w:val="0"/>
            <w:vAlign w:val="center"/>
          </w:tcPr>
          <w:p w14:paraId="332F96E8">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5427A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5000/月</w:t>
            </w:r>
          </w:p>
        </w:tc>
        <w:tc>
          <w:tcPr>
            <w:tcW w:w="10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7B197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3000/月</w:t>
            </w:r>
          </w:p>
        </w:tc>
        <w:tc>
          <w:tcPr>
            <w:tcW w:w="11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DCAD1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51B41269">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4425E767">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5495D87B">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19</w:t>
            </w:r>
          </w:p>
        </w:tc>
        <w:tc>
          <w:tcPr>
            <w:tcW w:w="35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5166D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恶性肿瘤（非放化疗）</w:t>
            </w:r>
          </w:p>
        </w:tc>
        <w:tc>
          <w:tcPr>
            <w:tcW w:w="1274" w:type="dxa"/>
            <w:vMerge w:val="continue"/>
            <w:tcBorders>
              <w:left w:val="single" w:color="auto" w:sz="4" w:space="0"/>
              <w:right w:val="single" w:color="auto" w:sz="4" w:space="0"/>
            </w:tcBorders>
            <w:shd w:val="clear" w:color="auto" w:fill="auto"/>
            <w:noWrap w:val="0"/>
            <w:vAlign w:val="center"/>
          </w:tcPr>
          <w:p w14:paraId="6B28014C">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11068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350/月</w:t>
            </w:r>
          </w:p>
        </w:tc>
        <w:tc>
          <w:tcPr>
            <w:tcW w:w="10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D2B4C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300/月</w:t>
            </w:r>
          </w:p>
        </w:tc>
        <w:tc>
          <w:tcPr>
            <w:tcW w:w="11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4B99D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4B39B348">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2A87F5E4">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4EA1B56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20</w:t>
            </w:r>
          </w:p>
        </w:tc>
        <w:tc>
          <w:tcPr>
            <w:tcW w:w="35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C57C2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耐多药肺结核</w:t>
            </w:r>
          </w:p>
        </w:tc>
        <w:tc>
          <w:tcPr>
            <w:tcW w:w="1274" w:type="dxa"/>
            <w:vMerge w:val="continue"/>
            <w:tcBorders>
              <w:left w:val="single" w:color="auto" w:sz="4" w:space="0"/>
              <w:right w:val="single" w:color="auto" w:sz="4" w:space="0"/>
            </w:tcBorders>
            <w:shd w:val="clear" w:color="auto" w:fill="auto"/>
            <w:noWrap w:val="0"/>
            <w:vAlign w:val="center"/>
          </w:tcPr>
          <w:p w14:paraId="5563181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39F68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10000/月</w:t>
            </w:r>
          </w:p>
        </w:tc>
        <w:tc>
          <w:tcPr>
            <w:tcW w:w="10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1464D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8333/月</w:t>
            </w:r>
          </w:p>
        </w:tc>
        <w:tc>
          <w:tcPr>
            <w:tcW w:w="11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20197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445FAE23">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1C8DD765">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3810C42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21</w:t>
            </w:r>
          </w:p>
        </w:tc>
        <w:tc>
          <w:tcPr>
            <w:tcW w:w="35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CEA0B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活动性肺结核</w:t>
            </w:r>
          </w:p>
        </w:tc>
        <w:tc>
          <w:tcPr>
            <w:tcW w:w="1274" w:type="dxa"/>
            <w:vMerge w:val="continue"/>
            <w:tcBorders>
              <w:left w:val="single" w:color="auto" w:sz="4" w:space="0"/>
              <w:right w:val="single" w:color="auto" w:sz="4" w:space="0"/>
            </w:tcBorders>
            <w:shd w:val="clear" w:color="auto" w:fill="auto"/>
            <w:noWrap w:val="0"/>
            <w:vAlign w:val="center"/>
          </w:tcPr>
          <w:p w14:paraId="01A0F26E">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7266A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550/月</w:t>
            </w:r>
          </w:p>
        </w:tc>
        <w:tc>
          <w:tcPr>
            <w:tcW w:w="10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4F441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400/月</w:t>
            </w:r>
          </w:p>
        </w:tc>
        <w:tc>
          <w:tcPr>
            <w:tcW w:w="11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F1E51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1年</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4E8BB492">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1B01FE7">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1A2E385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22</w:t>
            </w:r>
          </w:p>
        </w:tc>
        <w:tc>
          <w:tcPr>
            <w:tcW w:w="35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BFA26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丙型肝炎（</w:t>
            </w:r>
            <w:r>
              <w:rPr>
                <w:rStyle w:val="22"/>
                <w:rFonts w:hint="eastAsia" w:ascii="仿宋_GB2312" w:hAnsi="仿宋_GB2312" w:eastAsia="宋体" w:cs="仿宋_GB2312"/>
                <w:color w:val="000000" w:themeColor="text1"/>
                <w:sz w:val="24"/>
                <w:szCs w:val="24"/>
                <w:lang w:val="en-US" w:eastAsia="zh-CN" w:bidi="ar"/>
                <w14:textFill>
                  <w14:solidFill>
                    <w14:schemeClr w14:val="tx1"/>
                  </w14:solidFill>
                </w14:textFill>
              </w:rPr>
              <w:t>HCV RNA</w:t>
            </w:r>
            <w:r>
              <w:rPr>
                <w:rStyle w:val="23"/>
                <w:rFonts w:hint="eastAsia" w:ascii="仿宋_GB2312" w:hAnsi="仿宋_GB2312" w:eastAsia="宋体" w:cs="仿宋_GB2312"/>
                <w:color w:val="000000" w:themeColor="text1"/>
                <w:sz w:val="24"/>
                <w:szCs w:val="24"/>
                <w:lang w:val="en-US" w:eastAsia="zh-CN" w:bidi="ar"/>
                <w14:textFill>
                  <w14:solidFill>
                    <w14:schemeClr w14:val="tx1"/>
                  </w14:solidFill>
                </w14:textFill>
              </w:rPr>
              <w:t>阳性）</w:t>
            </w:r>
          </w:p>
        </w:tc>
        <w:tc>
          <w:tcPr>
            <w:tcW w:w="1274" w:type="dxa"/>
            <w:vMerge w:val="continue"/>
            <w:tcBorders>
              <w:left w:val="single" w:color="auto" w:sz="4" w:space="0"/>
              <w:right w:val="single" w:color="auto" w:sz="4" w:space="0"/>
            </w:tcBorders>
            <w:shd w:val="clear" w:color="auto" w:fill="auto"/>
            <w:noWrap w:val="0"/>
            <w:vAlign w:val="center"/>
          </w:tcPr>
          <w:p w14:paraId="427D9549">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8E68B2">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3000/月</w:t>
            </w:r>
          </w:p>
        </w:tc>
        <w:tc>
          <w:tcPr>
            <w:tcW w:w="10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30700B">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2500/月</w:t>
            </w:r>
          </w:p>
        </w:tc>
        <w:tc>
          <w:tcPr>
            <w:tcW w:w="11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0FE47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6个月</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0B80A733">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73AEC153">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0167254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23</w:t>
            </w:r>
          </w:p>
        </w:tc>
        <w:tc>
          <w:tcPr>
            <w:tcW w:w="35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2007F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不孕不育辅助生殖技术治疗</w:t>
            </w:r>
          </w:p>
        </w:tc>
        <w:tc>
          <w:tcPr>
            <w:tcW w:w="1274" w:type="dxa"/>
            <w:vMerge w:val="continue"/>
            <w:tcBorders>
              <w:left w:val="single" w:color="auto" w:sz="4" w:space="0"/>
              <w:bottom w:val="single" w:color="auto" w:sz="4" w:space="0"/>
              <w:right w:val="single" w:color="auto" w:sz="4" w:space="0"/>
            </w:tcBorders>
            <w:shd w:val="clear" w:color="auto" w:fill="auto"/>
            <w:noWrap w:val="0"/>
            <w:vAlign w:val="center"/>
          </w:tcPr>
          <w:p w14:paraId="1632060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c>
          <w:tcPr>
            <w:tcW w:w="11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01DC5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10000/年</w:t>
            </w:r>
          </w:p>
        </w:tc>
        <w:tc>
          <w:tcPr>
            <w:tcW w:w="10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359B9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5000/年</w:t>
            </w:r>
          </w:p>
        </w:tc>
        <w:tc>
          <w:tcPr>
            <w:tcW w:w="11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0453C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highlight w:val="none"/>
                <w:u w:val="none"/>
                <w:lang w:val="en-US" w:eastAsia="zh-CN" w:bidi="ar"/>
                <w14:textFill>
                  <w14:solidFill>
                    <w14:schemeClr w14:val="tx1"/>
                  </w14:solidFill>
                </w14:textFill>
              </w:rPr>
              <w:t>/</w:t>
            </w:r>
          </w:p>
        </w:tc>
        <w:tc>
          <w:tcPr>
            <w:tcW w:w="13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323F5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p>
        </w:tc>
      </w:tr>
      <w:tr w14:paraId="45B89E78">
        <w:tblPrEx>
          <w:tblCellMar>
            <w:top w:w="0" w:type="dxa"/>
            <w:left w:w="108" w:type="dxa"/>
            <w:bottom w:w="0" w:type="dxa"/>
            <w:right w:w="108" w:type="dxa"/>
          </w:tblCellMar>
        </w:tblPrEx>
        <w:trPr>
          <w:cantSplit/>
          <w:trHeight w:val="288"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0CF116D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24</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01FB96D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地中海贫血（海洋性贫血或珠蛋白生成障碍性贫血）</w:t>
            </w:r>
          </w:p>
        </w:tc>
        <w:tc>
          <w:tcPr>
            <w:tcW w:w="3536"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7EBDA92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6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参照住院标准执行</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3BE29528">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1399D95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5D551732">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72FE85F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25</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725D8FB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血友病</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1D0F1D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6E8A4BFC">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6AD91C2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49F2CD3">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03C5FE0B">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26</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3DDB1AE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C</w:t>
            </w:r>
            <w:r>
              <w:rPr>
                <w:rStyle w:val="23"/>
                <w:rFonts w:hint="eastAsia" w:ascii="仿宋_GB2312" w:hAnsi="仿宋_GB2312" w:eastAsia="宋体" w:cs="仿宋_GB2312"/>
                <w:color w:val="000000" w:themeColor="text1"/>
                <w:sz w:val="24"/>
                <w:szCs w:val="24"/>
                <w:lang w:val="en-US" w:eastAsia="zh-CN" w:bidi="ar"/>
                <w14:textFill>
                  <w14:solidFill>
                    <w14:schemeClr w14:val="tx1"/>
                  </w14:solidFill>
                </w14:textFill>
              </w:rPr>
              <w:t>型尼曼匹克病</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E3A9F49">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2FE5412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23AEF41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54F5A876">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39A0DAF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27</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54E5019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强直性脊柱炎</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4E2D2A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230E1C0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1CB27F7F">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216D58EE">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3267A64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28</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29D8A8F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银屑病</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5E1BB2AE">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9F67B9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41EDEDA9">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2C20C9BD">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76E6289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29</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645299B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克罗恩病</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61A959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3B40EA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62BD06F1">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1B7B70CE">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4CF4F1B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30</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12484B9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溃疡性结肠炎</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4651239F">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45A9816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0668677C">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2812E92">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7E38643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31</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44519E7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精神分裂症</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4BC6989E">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00D71BA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5784775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06E717D1">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10BA686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32</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3166609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分裂情感性障碍</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6F581BF">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017B1D8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66A7FDEE">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11F0C7F4">
        <w:tblPrEx>
          <w:tblCellMar>
            <w:top w:w="0" w:type="dxa"/>
            <w:left w:w="108" w:type="dxa"/>
            <w:bottom w:w="0" w:type="dxa"/>
            <w:right w:w="108" w:type="dxa"/>
          </w:tblCellMar>
        </w:tblPrEx>
        <w:trPr>
          <w:cantSplit/>
          <w:trHeight w:val="288"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5E435B8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33</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16D66F3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持久的妄想性障碍</w:t>
            </w:r>
            <w:r>
              <w:rPr>
                <w:rStyle w:val="22"/>
                <w:rFonts w:hint="eastAsia" w:ascii="仿宋_GB2312" w:hAnsi="仿宋_GB2312" w:eastAsia="宋体" w:cs="仿宋_GB2312"/>
                <w:color w:val="000000" w:themeColor="text1"/>
                <w:sz w:val="24"/>
                <w:szCs w:val="24"/>
                <w:lang w:val="en-US" w:eastAsia="zh-CN" w:bidi="ar"/>
                <w14:textFill>
                  <w14:solidFill>
                    <w14:schemeClr w14:val="tx1"/>
                  </w14:solidFill>
                </w14:textFill>
              </w:rPr>
              <w:t xml:space="preserve">                     </w:t>
            </w:r>
            <w:r>
              <w:rPr>
                <w:rStyle w:val="23"/>
                <w:rFonts w:hint="eastAsia" w:ascii="仿宋_GB2312" w:hAnsi="仿宋_GB2312" w:eastAsia="宋体" w:cs="仿宋_GB2312"/>
                <w:color w:val="000000" w:themeColor="text1"/>
                <w:sz w:val="24"/>
                <w:szCs w:val="24"/>
                <w:lang w:val="en-US" w:eastAsia="zh-CN" w:bidi="ar"/>
                <w14:textFill>
                  <w14:solidFill>
                    <w14:schemeClr w14:val="tx1"/>
                  </w14:solidFill>
                </w14:textFill>
              </w:rPr>
              <w:t>（偏执性精神病）</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5E35D02">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EB513C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0AA4266E">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22C9B897">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3A75BD5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34</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02E32AE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双相（情感）障碍</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6464B66">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22B916B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5151A55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3F30B18A">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363866A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35</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43D1246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癫痫所致精神障碍</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59204C6">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3F75DF13">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6451BE6D">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785E4770">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noWrap w:val="0"/>
            <w:vAlign w:val="center"/>
          </w:tcPr>
          <w:p w14:paraId="488B2C9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36</w:t>
            </w:r>
          </w:p>
        </w:tc>
        <w:tc>
          <w:tcPr>
            <w:tcW w:w="3539" w:type="dxa"/>
            <w:tcBorders>
              <w:top w:val="single" w:color="auto" w:sz="4" w:space="0"/>
              <w:left w:val="single" w:color="auto" w:sz="4" w:space="0"/>
              <w:bottom w:val="single" w:color="auto" w:sz="4" w:space="0"/>
              <w:right w:val="single" w:color="auto" w:sz="4" w:space="0"/>
            </w:tcBorders>
            <w:noWrap w:val="0"/>
            <w:vAlign w:val="center"/>
          </w:tcPr>
          <w:p w14:paraId="06DD10F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精神发育迟滞伴发精神障碍</w:t>
            </w:r>
          </w:p>
        </w:tc>
        <w:tc>
          <w:tcPr>
            <w:tcW w:w="3536"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475811C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5472521C">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长期</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4D060DF0">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49575E63">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58D0B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37</w:t>
            </w:r>
          </w:p>
        </w:tc>
        <w:tc>
          <w:tcPr>
            <w:tcW w:w="35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64462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再生障碍性贫血</w:t>
            </w:r>
          </w:p>
        </w:tc>
        <w:tc>
          <w:tcPr>
            <w:tcW w:w="3536"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C12B9AB">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8CA5E3">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043F219B">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023D8EB6">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0D67A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4"/>
                <w:szCs w:val="24"/>
                <w:u w:val="none"/>
                <w:lang w:val="en-US" w:eastAsia="zh-CN" w:bidi="ar-SA"/>
                <w14:textFill>
                  <w14:solidFill>
                    <w14:schemeClr w14:val="tx1"/>
                  </w14:solidFill>
                </w14:textFill>
              </w:rPr>
              <w:t>38</w:t>
            </w:r>
          </w:p>
        </w:tc>
        <w:tc>
          <w:tcPr>
            <w:tcW w:w="353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D469C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骨髓纤维化</w:t>
            </w:r>
          </w:p>
        </w:tc>
        <w:tc>
          <w:tcPr>
            <w:tcW w:w="3536"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A594C8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96E17B">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auto" w:sz="4" w:space="0"/>
              <w:left w:val="single" w:color="auto" w:sz="4" w:space="0"/>
              <w:bottom w:val="single" w:color="auto" w:sz="4" w:space="0"/>
              <w:right w:val="single" w:color="auto" w:sz="4" w:space="0"/>
            </w:tcBorders>
            <w:noWrap w:val="0"/>
            <w:vAlign w:val="center"/>
          </w:tcPr>
          <w:p w14:paraId="30229E9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088501E4">
        <w:tblPrEx>
          <w:tblCellMar>
            <w:top w:w="0" w:type="dxa"/>
            <w:left w:w="108" w:type="dxa"/>
            <w:bottom w:w="0" w:type="dxa"/>
            <w:right w:w="108" w:type="dxa"/>
          </w:tblCellMar>
        </w:tblPrEx>
        <w:trPr>
          <w:cantSplit/>
          <w:trHeight w:val="147" w:hRule="atLeast"/>
        </w:trPr>
        <w:tc>
          <w:tcPr>
            <w:tcW w:w="73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25CC37F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4"/>
                <w:szCs w:val="24"/>
                <w:u w:val="none"/>
                <w:lang w:val="en-US" w:eastAsia="zh-CN" w:bidi="ar-SA"/>
                <w14:textFill>
                  <w14:solidFill>
                    <w14:schemeClr w14:val="tx1"/>
                  </w14:solidFill>
                </w14:textFill>
              </w:rPr>
              <w:t>39</w:t>
            </w:r>
          </w:p>
        </w:tc>
        <w:tc>
          <w:tcPr>
            <w:tcW w:w="3539"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3464F3D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骨髓增生异常综合症</w:t>
            </w:r>
          </w:p>
        </w:tc>
        <w:tc>
          <w:tcPr>
            <w:tcW w:w="3536" w:type="dxa"/>
            <w:gridSpan w:val="3"/>
            <w:vMerge w:val="continue"/>
            <w:tcBorders>
              <w:top w:val="single" w:color="auto" w:sz="4" w:space="0"/>
              <w:left w:val="single" w:color="000000" w:sz="4" w:space="0"/>
              <w:right w:val="single" w:color="000000" w:sz="4" w:space="0"/>
            </w:tcBorders>
            <w:noWrap w:val="0"/>
            <w:vAlign w:val="center"/>
          </w:tcPr>
          <w:p w14:paraId="4C66D9DF">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76EF7C3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auto" w:sz="4" w:space="0"/>
              <w:left w:val="single" w:color="000000" w:sz="4" w:space="0"/>
              <w:bottom w:val="single" w:color="000000" w:sz="4" w:space="0"/>
              <w:right w:val="single" w:color="000000" w:sz="4" w:space="0"/>
            </w:tcBorders>
            <w:noWrap w:val="0"/>
            <w:vAlign w:val="center"/>
          </w:tcPr>
          <w:p w14:paraId="33BFBF29">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94CAF3C">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B814C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4"/>
                <w:szCs w:val="24"/>
                <w:u w:val="none"/>
                <w:lang w:val="en-US" w:eastAsia="zh-CN" w:bidi="ar-SA"/>
                <w14:textFill>
                  <w14:solidFill>
                    <w14:schemeClr w14:val="tx1"/>
                  </w14:solidFill>
                </w14:textFill>
              </w:rPr>
              <w:t>40</w:t>
            </w:r>
          </w:p>
        </w:tc>
        <w:tc>
          <w:tcPr>
            <w:tcW w:w="3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FD1E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肢端肥大症</w:t>
            </w:r>
          </w:p>
        </w:tc>
        <w:tc>
          <w:tcPr>
            <w:tcW w:w="3536" w:type="dxa"/>
            <w:gridSpan w:val="3"/>
            <w:vMerge w:val="continue"/>
            <w:tcBorders>
              <w:left w:val="single" w:color="000000" w:sz="4" w:space="0"/>
              <w:right w:val="single" w:color="000000" w:sz="4" w:space="0"/>
            </w:tcBorders>
            <w:shd w:val="clear" w:color="auto" w:fill="auto"/>
            <w:noWrap w:val="0"/>
            <w:vAlign w:val="center"/>
          </w:tcPr>
          <w:p w14:paraId="78A5628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28BD1D">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7382C53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8510713">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6FCF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4"/>
                <w:szCs w:val="24"/>
                <w:u w:val="none"/>
                <w:lang w:val="en-US" w:eastAsia="zh-CN" w:bidi="ar-SA"/>
                <w14:textFill>
                  <w14:solidFill>
                    <w14:schemeClr w14:val="tx1"/>
                  </w14:solidFill>
                </w14:textFill>
              </w:rPr>
              <w:t>41</w:t>
            </w:r>
          </w:p>
        </w:tc>
        <w:tc>
          <w:tcPr>
            <w:tcW w:w="3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27DAB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多发性硬化</w:t>
            </w:r>
          </w:p>
        </w:tc>
        <w:tc>
          <w:tcPr>
            <w:tcW w:w="3536" w:type="dxa"/>
            <w:gridSpan w:val="3"/>
            <w:vMerge w:val="continue"/>
            <w:tcBorders>
              <w:left w:val="single" w:color="000000" w:sz="4" w:space="0"/>
              <w:right w:val="single" w:color="000000" w:sz="4" w:space="0"/>
            </w:tcBorders>
            <w:noWrap w:val="0"/>
            <w:vAlign w:val="center"/>
          </w:tcPr>
          <w:p w14:paraId="21A5CA8F">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23B22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4B316287">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1BCEB0D9">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0D11B2">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4"/>
                <w:szCs w:val="24"/>
                <w:u w:val="none"/>
                <w:lang w:val="en-US" w:eastAsia="zh-CN" w:bidi="ar-SA"/>
                <w14:textFill>
                  <w14:solidFill>
                    <w14:schemeClr w14:val="tx1"/>
                  </w14:solidFill>
                </w14:textFill>
              </w:rPr>
              <w:t>42</w:t>
            </w:r>
          </w:p>
        </w:tc>
        <w:tc>
          <w:tcPr>
            <w:tcW w:w="3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11234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湿性年龄相关性黄斑变性</w:t>
            </w:r>
          </w:p>
        </w:tc>
        <w:tc>
          <w:tcPr>
            <w:tcW w:w="3536" w:type="dxa"/>
            <w:gridSpan w:val="3"/>
            <w:vMerge w:val="continue"/>
            <w:tcBorders>
              <w:left w:val="single" w:color="000000" w:sz="4" w:space="0"/>
              <w:right w:val="single" w:color="000000" w:sz="4" w:space="0"/>
            </w:tcBorders>
            <w:shd w:val="clear" w:color="auto" w:fill="auto"/>
            <w:noWrap w:val="0"/>
            <w:vAlign w:val="center"/>
          </w:tcPr>
          <w:p w14:paraId="79CA6A5F">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B9C0A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36E0FE52">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E7BA3D1">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E36B7A">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4"/>
                <w:szCs w:val="24"/>
                <w:u w:val="none"/>
                <w:lang w:val="en-US" w:eastAsia="zh-CN" w:bidi="ar-SA"/>
                <w14:textFill>
                  <w14:solidFill>
                    <w14:schemeClr w14:val="tx1"/>
                  </w14:solidFill>
                </w14:textFill>
              </w:rPr>
              <w:t>43</w:t>
            </w:r>
          </w:p>
        </w:tc>
        <w:tc>
          <w:tcPr>
            <w:tcW w:w="3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A31C3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糖尿病黄斑水肿</w:t>
            </w:r>
          </w:p>
        </w:tc>
        <w:tc>
          <w:tcPr>
            <w:tcW w:w="3536" w:type="dxa"/>
            <w:gridSpan w:val="3"/>
            <w:vMerge w:val="continue"/>
            <w:tcBorders>
              <w:left w:val="single" w:color="000000" w:sz="4" w:space="0"/>
              <w:right w:val="single" w:color="000000" w:sz="4" w:space="0"/>
            </w:tcBorders>
            <w:noWrap w:val="0"/>
            <w:vAlign w:val="center"/>
          </w:tcPr>
          <w:p w14:paraId="683C6FB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2BED3B">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131BCFE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3FFBDA9">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33FBB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4"/>
                <w:szCs w:val="24"/>
                <w:u w:val="none"/>
                <w:lang w:val="en-US" w:eastAsia="zh-CN" w:bidi="ar-SA"/>
                <w14:textFill>
                  <w14:solidFill>
                    <w14:schemeClr w14:val="tx1"/>
                  </w14:solidFill>
                </w14:textFill>
              </w:rPr>
              <w:t>44</w:t>
            </w:r>
          </w:p>
        </w:tc>
        <w:tc>
          <w:tcPr>
            <w:tcW w:w="3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EB676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脉络膜新生血管</w:t>
            </w:r>
          </w:p>
        </w:tc>
        <w:tc>
          <w:tcPr>
            <w:tcW w:w="3536" w:type="dxa"/>
            <w:gridSpan w:val="3"/>
            <w:vMerge w:val="continue"/>
            <w:tcBorders>
              <w:left w:val="single" w:color="000000" w:sz="4" w:space="0"/>
              <w:right w:val="single" w:color="000000" w:sz="4" w:space="0"/>
            </w:tcBorders>
            <w:noWrap w:val="0"/>
            <w:vAlign w:val="center"/>
          </w:tcPr>
          <w:p w14:paraId="6AEAFD0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0FED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5BF7367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7DA3AA3A">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2B1E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2"/>
                <w:sz w:val="24"/>
                <w:szCs w:val="24"/>
                <w:u w:val="none"/>
                <w:lang w:val="en-US" w:eastAsia="zh-CN" w:bidi="ar-SA"/>
                <w14:textFill>
                  <w14:solidFill>
                    <w14:schemeClr w14:val="tx1"/>
                  </w14:solidFill>
                </w14:textFill>
              </w:rPr>
              <w:t>45</w:t>
            </w:r>
          </w:p>
        </w:tc>
        <w:tc>
          <w:tcPr>
            <w:tcW w:w="3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937D2">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2"/>
                <w:sz w:val="24"/>
                <w:szCs w:val="24"/>
                <w:u w:val="none"/>
                <w:lang w:val="en-US" w:eastAsia="zh-CN" w:bidi="ar-SA"/>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视网膜静脉阻塞所致黄斑水肿</w:t>
            </w:r>
          </w:p>
        </w:tc>
        <w:tc>
          <w:tcPr>
            <w:tcW w:w="3536" w:type="dxa"/>
            <w:gridSpan w:val="3"/>
            <w:vMerge w:val="continue"/>
            <w:tcBorders>
              <w:left w:val="single" w:color="000000" w:sz="4" w:space="0"/>
              <w:right w:val="single" w:color="000000" w:sz="4" w:space="0"/>
            </w:tcBorders>
            <w:noWrap w:val="0"/>
            <w:vAlign w:val="center"/>
          </w:tcPr>
          <w:p w14:paraId="55A5AEAB">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C420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238A4395">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822A564">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14:paraId="5018E3A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46</w:t>
            </w:r>
          </w:p>
        </w:tc>
        <w:tc>
          <w:tcPr>
            <w:tcW w:w="3539" w:type="dxa"/>
            <w:tcBorders>
              <w:top w:val="single" w:color="000000" w:sz="4" w:space="0"/>
              <w:left w:val="single" w:color="000000" w:sz="4" w:space="0"/>
              <w:bottom w:val="single" w:color="000000" w:sz="4" w:space="0"/>
              <w:right w:val="single" w:color="000000" w:sz="4" w:space="0"/>
            </w:tcBorders>
            <w:noWrap w:val="0"/>
            <w:vAlign w:val="center"/>
          </w:tcPr>
          <w:p w14:paraId="14D7355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慢性肾功能不全（血透治疗）</w:t>
            </w:r>
          </w:p>
        </w:tc>
        <w:tc>
          <w:tcPr>
            <w:tcW w:w="3536" w:type="dxa"/>
            <w:gridSpan w:val="3"/>
            <w:vMerge w:val="continue"/>
            <w:tcBorders>
              <w:left w:val="single" w:color="000000" w:sz="4" w:space="0"/>
              <w:right w:val="single" w:color="000000" w:sz="4" w:space="0"/>
            </w:tcBorders>
            <w:noWrap w:val="0"/>
            <w:vAlign w:val="center"/>
          </w:tcPr>
          <w:p w14:paraId="562FDD10">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noWrap w:val="0"/>
            <w:vAlign w:val="center"/>
          </w:tcPr>
          <w:p w14:paraId="67D58C5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077310B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48218FF0">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14:paraId="0744B49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47</w:t>
            </w:r>
          </w:p>
        </w:tc>
        <w:tc>
          <w:tcPr>
            <w:tcW w:w="3539" w:type="dxa"/>
            <w:tcBorders>
              <w:top w:val="single" w:color="000000" w:sz="4" w:space="0"/>
              <w:left w:val="single" w:color="000000" w:sz="4" w:space="0"/>
              <w:bottom w:val="single" w:color="000000" w:sz="4" w:space="0"/>
              <w:right w:val="single" w:color="000000" w:sz="4" w:space="0"/>
            </w:tcBorders>
            <w:noWrap w:val="0"/>
            <w:vAlign w:val="center"/>
          </w:tcPr>
          <w:p w14:paraId="0BD07B91">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慢性肾功能不全（腹透治疗）</w:t>
            </w:r>
          </w:p>
        </w:tc>
        <w:tc>
          <w:tcPr>
            <w:tcW w:w="3536" w:type="dxa"/>
            <w:gridSpan w:val="3"/>
            <w:vMerge w:val="continue"/>
            <w:tcBorders>
              <w:left w:val="single" w:color="000000" w:sz="4" w:space="0"/>
              <w:right w:val="single" w:color="000000" w:sz="4" w:space="0"/>
            </w:tcBorders>
            <w:noWrap w:val="0"/>
            <w:vAlign w:val="center"/>
          </w:tcPr>
          <w:p w14:paraId="0695BA0D">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noWrap w:val="0"/>
            <w:vAlign w:val="center"/>
          </w:tcPr>
          <w:p w14:paraId="2863DD1F">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7F5559AB">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7FC42F39">
        <w:tblPrEx>
          <w:tblCellMar>
            <w:top w:w="0" w:type="dxa"/>
            <w:left w:w="108" w:type="dxa"/>
            <w:bottom w:w="0" w:type="dxa"/>
            <w:right w:w="108" w:type="dxa"/>
          </w:tblCellMar>
        </w:tblPrEx>
        <w:trPr>
          <w:cantSplit/>
          <w:trHeight w:val="288"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14:paraId="78D824E8">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48</w:t>
            </w:r>
          </w:p>
        </w:tc>
        <w:tc>
          <w:tcPr>
            <w:tcW w:w="3539" w:type="dxa"/>
            <w:tcBorders>
              <w:top w:val="single" w:color="000000" w:sz="4" w:space="0"/>
              <w:left w:val="single" w:color="000000" w:sz="4" w:space="0"/>
              <w:bottom w:val="single" w:color="000000" w:sz="4" w:space="0"/>
              <w:right w:val="single" w:color="000000" w:sz="4" w:space="0"/>
            </w:tcBorders>
            <w:noWrap w:val="0"/>
            <w:vAlign w:val="center"/>
          </w:tcPr>
          <w:p w14:paraId="7D37A34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恶性肿瘤（化疗，含生物靶向药物、内分泌治疗）</w:t>
            </w:r>
          </w:p>
        </w:tc>
        <w:tc>
          <w:tcPr>
            <w:tcW w:w="3536" w:type="dxa"/>
            <w:gridSpan w:val="3"/>
            <w:vMerge w:val="continue"/>
            <w:tcBorders>
              <w:left w:val="single" w:color="000000" w:sz="4" w:space="0"/>
              <w:right w:val="single" w:color="000000" w:sz="4" w:space="0"/>
            </w:tcBorders>
            <w:noWrap w:val="0"/>
            <w:vAlign w:val="center"/>
          </w:tcPr>
          <w:p w14:paraId="44C8F420">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noWrap/>
            <w:vAlign w:val="center"/>
          </w:tcPr>
          <w:p w14:paraId="4EAA17D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6DB76357">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6756A14A">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14:paraId="5C53F5B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u w:val="none"/>
                <w:lang w:val="en-US" w:eastAsia="zh-CN"/>
                <w14:textFill>
                  <w14:solidFill>
                    <w14:schemeClr w14:val="tx1"/>
                  </w14:solidFill>
                </w14:textFill>
              </w:rPr>
              <w:t>49</w:t>
            </w:r>
          </w:p>
        </w:tc>
        <w:tc>
          <w:tcPr>
            <w:tcW w:w="3539" w:type="dxa"/>
            <w:tcBorders>
              <w:top w:val="single" w:color="000000" w:sz="4" w:space="0"/>
              <w:left w:val="single" w:color="000000" w:sz="4" w:space="0"/>
              <w:bottom w:val="single" w:color="000000" w:sz="4" w:space="0"/>
              <w:right w:val="single" w:color="000000" w:sz="4" w:space="0"/>
            </w:tcBorders>
            <w:noWrap w:val="0"/>
            <w:vAlign w:val="center"/>
          </w:tcPr>
          <w:p w14:paraId="1289D11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sz w:val="24"/>
                <w:szCs w:val="24"/>
                <w:u w:val="none"/>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恶性肿瘤（放疗）</w:t>
            </w:r>
          </w:p>
        </w:tc>
        <w:tc>
          <w:tcPr>
            <w:tcW w:w="3536" w:type="dxa"/>
            <w:gridSpan w:val="3"/>
            <w:vMerge w:val="continue"/>
            <w:tcBorders>
              <w:left w:val="single" w:color="000000" w:sz="4" w:space="0"/>
              <w:right w:val="single" w:color="000000" w:sz="4" w:space="0"/>
            </w:tcBorders>
            <w:noWrap w:val="0"/>
            <w:vAlign w:val="center"/>
          </w:tcPr>
          <w:p w14:paraId="2704EA4D">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noWrap/>
            <w:vAlign w:val="center"/>
          </w:tcPr>
          <w:p w14:paraId="5244666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7CEE8EF4">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480E4A09">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14:paraId="3EA5A4B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w:t>
            </w:r>
          </w:p>
        </w:tc>
        <w:tc>
          <w:tcPr>
            <w:tcW w:w="3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DEE49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心脏移植术后抗排异治疗</w:t>
            </w:r>
          </w:p>
        </w:tc>
        <w:tc>
          <w:tcPr>
            <w:tcW w:w="3536" w:type="dxa"/>
            <w:gridSpan w:val="3"/>
            <w:vMerge w:val="continue"/>
            <w:tcBorders>
              <w:left w:val="single" w:color="000000" w:sz="4" w:space="0"/>
              <w:right w:val="single" w:color="000000" w:sz="4" w:space="0"/>
            </w:tcBorders>
            <w:noWrap w:val="0"/>
            <w:vAlign w:val="center"/>
          </w:tcPr>
          <w:p w14:paraId="4AF54E52">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noWrap/>
            <w:vAlign w:val="center"/>
          </w:tcPr>
          <w:p w14:paraId="05E280B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1E16F910">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237B2107">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14:paraId="65C543F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51</w:t>
            </w:r>
          </w:p>
        </w:tc>
        <w:tc>
          <w:tcPr>
            <w:tcW w:w="3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DADBE9">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肝脏移植术后抗排异治疗</w:t>
            </w:r>
          </w:p>
        </w:tc>
        <w:tc>
          <w:tcPr>
            <w:tcW w:w="3536" w:type="dxa"/>
            <w:gridSpan w:val="3"/>
            <w:vMerge w:val="continue"/>
            <w:tcBorders>
              <w:left w:val="single" w:color="000000" w:sz="4" w:space="0"/>
              <w:right w:val="single" w:color="000000" w:sz="4" w:space="0"/>
            </w:tcBorders>
            <w:noWrap w:val="0"/>
            <w:vAlign w:val="center"/>
          </w:tcPr>
          <w:p w14:paraId="4114A31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noWrap/>
            <w:vAlign w:val="center"/>
          </w:tcPr>
          <w:p w14:paraId="63AC8795">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4BE53752">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52444523">
        <w:tblPrEx>
          <w:tblCellMar>
            <w:top w:w="0" w:type="dxa"/>
            <w:left w:w="108" w:type="dxa"/>
            <w:bottom w:w="0" w:type="dxa"/>
            <w:right w:w="108" w:type="dxa"/>
          </w:tblCellMar>
        </w:tblPrEx>
        <w:trPr>
          <w:cantSplit/>
          <w:trHeight w:val="147"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14:paraId="34F4A4B6">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52</w:t>
            </w:r>
          </w:p>
        </w:tc>
        <w:tc>
          <w:tcPr>
            <w:tcW w:w="3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E41E90">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肺脏移植术后抗排异治疗</w:t>
            </w:r>
          </w:p>
        </w:tc>
        <w:tc>
          <w:tcPr>
            <w:tcW w:w="3536" w:type="dxa"/>
            <w:gridSpan w:val="3"/>
            <w:vMerge w:val="continue"/>
            <w:tcBorders>
              <w:left w:val="single" w:color="000000" w:sz="4" w:space="0"/>
              <w:right w:val="single" w:color="000000" w:sz="4" w:space="0"/>
            </w:tcBorders>
            <w:noWrap w:val="0"/>
            <w:vAlign w:val="center"/>
          </w:tcPr>
          <w:p w14:paraId="198210EA">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noWrap/>
            <w:vAlign w:val="center"/>
          </w:tcPr>
          <w:p w14:paraId="3D8D773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2年</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76C71111">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r w14:paraId="2E223536">
        <w:tblPrEx>
          <w:tblCellMar>
            <w:top w:w="0" w:type="dxa"/>
            <w:left w:w="108" w:type="dxa"/>
            <w:bottom w:w="0" w:type="dxa"/>
            <w:right w:w="108" w:type="dxa"/>
          </w:tblCellMar>
        </w:tblPrEx>
        <w:trPr>
          <w:cantSplit/>
          <w:trHeight w:val="153" w:hRule="atLeast"/>
        </w:trPr>
        <w:tc>
          <w:tcPr>
            <w:tcW w:w="730" w:type="dxa"/>
            <w:tcBorders>
              <w:top w:val="single" w:color="000000" w:sz="4" w:space="0"/>
              <w:left w:val="single" w:color="000000" w:sz="4" w:space="0"/>
              <w:bottom w:val="single" w:color="000000" w:sz="4" w:space="0"/>
              <w:right w:val="single" w:color="000000" w:sz="4" w:space="0"/>
            </w:tcBorders>
            <w:noWrap w:val="0"/>
            <w:vAlign w:val="center"/>
          </w:tcPr>
          <w:p w14:paraId="6527CD3E">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53</w:t>
            </w:r>
          </w:p>
        </w:tc>
        <w:tc>
          <w:tcPr>
            <w:tcW w:w="3539" w:type="dxa"/>
            <w:tcBorders>
              <w:top w:val="single" w:color="000000" w:sz="4" w:space="0"/>
              <w:left w:val="single" w:color="000000" w:sz="4" w:space="0"/>
              <w:bottom w:val="single" w:color="000000" w:sz="4" w:space="0"/>
              <w:right w:val="single" w:color="000000" w:sz="4" w:space="0"/>
            </w:tcBorders>
            <w:noWrap w:val="0"/>
            <w:vAlign w:val="center"/>
          </w:tcPr>
          <w:p w14:paraId="084A52A7">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宋体" w:cs="仿宋_GB2312"/>
                <w:i w:val="0"/>
                <w:iCs w:val="0"/>
                <w:color w:val="000000" w:themeColor="text1"/>
                <w:kern w:val="0"/>
                <w:sz w:val="24"/>
                <w:szCs w:val="24"/>
                <w:u w:val="none"/>
                <w:lang w:val="en-US" w:eastAsia="zh-CN" w:bidi="ar"/>
                <w14:textFill>
                  <w14:solidFill>
                    <w14:schemeClr w14:val="tx1"/>
                  </w14:solidFill>
                </w14:textFill>
              </w:rPr>
              <w:t>新冠肺炎出院患者门诊康复治疗</w:t>
            </w:r>
          </w:p>
        </w:tc>
        <w:tc>
          <w:tcPr>
            <w:tcW w:w="3536" w:type="dxa"/>
            <w:gridSpan w:val="3"/>
            <w:vMerge w:val="continue"/>
            <w:tcBorders>
              <w:left w:val="single" w:color="000000" w:sz="4" w:space="0"/>
              <w:bottom w:val="single" w:color="000000" w:sz="4" w:space="0"/>
              <w:right w:val="single" w:color="000000" w:sz="4" w:space="0"/>
            </w:tcBorders>
            <w:noWrap w:val="0"/>
            <w:vAlign w:val="center"/>
          </w:tcPr>
          <w:p w14:paraId="281507ED">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c>
          <w:tcPr>
            <w:tcW w:w="1178" w:type="dxa"/>
            <w:tcBorders>
              <w:top w:val="single" w:color="000000" w:sz="4" w:space="0"/>
              <w:left w:val="single" w:color="000000" w:sz="4" w:space="0"/>
              <w:bottom w:val="single" w:color="000000" w:sz="4" w:space="0"/>
              <w:right w:val="single" w:color="000000" w:sz="4" w:space="0"/>
            </w:tcBorders>
            <w:noWrap/>
            <w:vAlign w:val="center"/>
          </w:tcPr>
          <w:p w14:paraId="49671234">
            <w:pPr>
              <w:keepNext/>
              <w:keepLines/>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textAlignment w:val="center"/>
              <w:rPr>
                <w:rFonts w:hint="eastAsia" w:ascii="Times New Roman" w:hAnsi="Times New Roman" w:cs="Times New Roman" w:eastAsiaTheme="majorEastAsia"/>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3个月</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23956B1B">
            <w:pPr>
              <w:keepNext/>
              <w:keepLines/>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20" w:lineRule="exact"/>
              <w:jc w:val="center"/>
              <w:rPr>
                <w:rFonts w:hint="eastAsia" w:ascii="Times New Roman" w:hAnsi="Times New Roman" w:cs="Times New Roman" w:eastAsiaTheme="majorEastAsia"/>
                <w:i w:val="0"/>
                <w:iCs w:val="0"/>
                <w:color w:val="000000" w:themeColor="text1"/>
                <w:sz w:val="24"/>
                <w:szCs w:val="24"/>
                <w:u w:val="none"/>
                <w14:textFill>
                  <w14:solidFill>
                    <w14:schemeClr w14:val="tx1"/>
                  </w14:solidFill>
                </w14:textFill>
              </w:rPr>
            </w:pPr>
          </w:p>
        </w:tc>
      </w:tr>
    </w:tbl>
    <w:p w14:paraId="79B5BB4B">
      <w:pPr>
        <w:pStyle w:val="12"/>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tabs>
          <w:tab w:val="left" w:pos="0"/>
        </w:tabs>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baseline"/>
        <w:rPr>
          <w:rFonts w:hint="eastAsia" w:ascii="方正小标宋简体" w:hAnsi="方正小标宋简体" w:eastAsia="方正小标宋简体" w:cs="方正小标宋简体"/>
          <w:i w:val="0"/>
          <w:iCs w:val="0"/>
          <w:caps w:val="0"/>
          <w:color w:val="000000" w:themeColor="text1"/>
          <w:spacing w:val="0"/>
          <w:sz w:val="44"/>
          <w:szCs w:val="44"/>
          <w:u w:val="none"/>
          <w:vertAlign w:val="baseline"/>
          <w:lang w:val="en-US" w:eastAsia="zh-CN"/>
          <w14:textFill>
            <w14:solidFill>
              <w14:schemeClr w14:val="tx1"/>
            </w14:solidFill>
          </w14:textFill>
        </w:rPr>
      </w:pPr>
    </w:p>
    <w:p w14:paraId="7D4EC689">
      <w:pPr>
        <w:pStyle w:val="12"/>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300" w:beforeAutospacing="0" w:after="0" w:afterAutospacing="0" w:line="560" w:lineRule="exact"/>
        <w:ind w:right="0"/>
        <w:jc w:val="both"/>
        <w:textAlignment w:val="baseline"/>
        <w:rPr>
          <w:rFonts w:hint="eastAsia" w:ascii="Times New Roman" w:hAnsi="Times New Roman" w:eastAsia="宋体" w:cs="Times New Roman"/>
          <w:i w:val="0"/>
          <w:iCs w:val="0"/>
          <w:caps w:val="0"/>
          <w:color w:val="000000" w:themeColor="text1"/>
          <w:spacing w:val="0"/>
          <w:sz w:val="32"/>
          <w:szCs w:val="32"/>
          <w:u w:val="none"/>
          <w:vertAlign w:val="baseline"/>
          <w:lang w:eastAsia="zh-CN"/>
          <w14:textFill>
            <w14:solidFill>
              <w14:schemeClr w14:val="tx1"/>
            </w14:solidFill>
          </w14:textFill>
        </w:rPr>
        <w:sectPr>
          <w:headerReference r:id="rId5" w:type="default"/>
          <w:footerReference r:id="rId6"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start="33" w:chapStyle="1"/>
          <w:cols w:space="0" w:num="1"/>
          <w:rtlGutter w:val="0"/>
          <w:docGrid w:type="lines" w:linePitch="312" w:charSpace="0"/>
        </w:sectPr>
      </w:pPr>
    </w:p>
    <w:p w14:paraId="6E6277E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600" w:lineRule="exact"/>
        <w:textAlignment w:val="auto"/>
        <w:rPr>
          <w:rFonts w:hint="eastAsia"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附件2</w:t>
      </w:r>
    </w:p>
    <w:p w14:paraId="404B146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pPr>
    </w:p>
    <w:p w14:paraId="4487C84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i w:val="0"/>
          <w:iCs w:val="0"/>
          <w:color w:val="000000" w:themeColor="text1"/>
          <w:kern w:val="0"/>
          <w:sz w:val="44"/>
          <w:szCs w:val="44"/>
          <w:u w:val="none"/>
          <w:lang w:val="en-US" w:eastAsia="zh-CN" w:bidi="ar"/>
          <w14:textFill>
            <w14:solidFill>
              <w14:schemeClr w14:val="tx1"/>
            </w14:solidFill>
          </w14:textFill>
        </w:rPr>
      </w:pPr>
      <w:r>
        <w:rPr>
          <w:rFonts w:hint="eastAsia" w:ascii="Times New Roman" w:hAnsi="Times New Roman" w:eastAsia="方正小标宋简体" w:cs="Times New Roman"/>
          <w:i w:val="0"/>
          <w:iCs w:val="0"/>
          <w:color w:val="000000" w:themeColor="text1"/>
          <w:kern w:val="0"/>
          <w:sz w:val="44"/>
          <w:szCs w:val="44"/>
          <w:u w:val="none"/>
          <w:lang w:val="en-US" w:eastAsia="zh-CN" w:bidi="ar"/>
          <w14:textFill>
            <w14:solidFill>
              <w14:schemeClr w14:val="tx1"/>
            </w14:solidFill>
          </w14:textFill>
        </w:rPr>
        <w:t>揭阳市定点医疗机构门诊特定病种</w:t>
      </w:r>
    </w:p>
    <w:p w14:paraId="1239ECF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Times New Roman"/>
          <w:color w:val="000000" w:themeColor="text1"/>
          <w:sz w:val="44"/>
          <w:szCs w:val="44"/>
          <w:lang w:val="en-US" w:eastAsia="zh-CN"/>
          <w14:textFill>
            <w14:solidFill>
              <w14:schemeClr w14:val="tx1"/>
            </w14:solidFill>
          </w14:textFill>
        </w:rPr>
      </w:pPr>
      <w:r>
        <w:rPr>
          <w:rFonts w:hint="eastAsia" w:ascii="Times New Roman" w:hAnsi="Times New Roman" w:eastAsia="方正小标宋简体" w:cs="Times New Roman"/>
          <w:i w:val="0"/>
          <w:iCs w:val="0"/>
          <w:color w:val="000000" w:themeColor="text1"/>
          <w:kern w:val="0"/>
          <w:sz w:val="44"/>
          <w:szCs w:val="44"/>
          <w:u w:val="none"/>
          <w:lang w:val="en-US" w:eastAsia="zh-CN" w:bidi="ar"/>
          <w14:textFill>
            <w14:solidFill>
              <w14:schemeClr w14:val="tx1"/>
            </w14:solidFill>
          </w14:textFill>
        </w:rPr>
        <w:t>服务资格条件</w:t>
      </w:r>
    </w:p>
    <w:tbl>
      <w:tblPr>
        <w:tblStyle w:val="13"/>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16"/>
        <w:gridCol w:w="1632"/>
        <w:gridCol w:w="4236"/>
        <w:gridCol w:w="1824"/>
      </w:tblGrid>
      <w:tr w14:paraId="2318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blHeader/>
          <w:jc w:val="center"/>
        </w:trPr>
        <w:tc>
          <w:tcPr>
            <w:tcW w:w="816" w:type="dxa"/>
            <w:shd w:val="clear" w:color="auto" w:fill="auto"/>
            <w:vAlign w:val="center"/>
          </w:tcPr>
          <w:p w14:paraId="01C8CC5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hint="eastAsia" w:ascii="黑体" w:hAnsi="黑体" w:eastAsia="黑体" w:cs="黑体"/>
                <w:color w:val="000000" w:themeColor="text1"/>
                <w:kern w:val="2"/>
                <w:sz w:val="21"/>
                <w:szCs w:val="24"/>
                <w:lang w:val="en-US" w:eastAsia="zh-CN" w:bidi="ar-SA"/>
                <w14:textFill>
                  <w14:solidFill>
                    <w14:schemeClr w14:val="tx1"/>
                  </w14:solidFill>
                </w14:textFill>
              </w:rPr>
            </w:pPr>
            <w:r>
              <w:rPr>
                <w:rFonts w:hint="eastAsia" w:ascii="黑体" w:hAnsi="黑体" w:eastAsia="黑体" w:cs="黑体"/>
                <w:b/>
                <w:bCs/>
                <w:color w:val="000000" w:themeColor="text1"/>
                <w:kern w:val="0"/>
                <w:sz w:val="24"/>
                <w:szCs w:val="24"/>
                <w:lang w:val="en-US" w:eastAsia="zh-CN" w:bidi="ar"/>
                <w14:textFill>
                  <w14:solidFill>
                    <w14:schemeClr w14:val="tx1"/>
                  </w14:solidFill>
                </w14:textFill>
              </w:rPr>
              <w:t>序号</w:t>
            </w:r>
          </w:p>
        </w:tc>
        <w:tc>
          <w:tcPr>
            <w:tcW w:w="1632" w:type="dxa"/>
            <w:shd w:val="clear" w:color="auto" w:fill="auto"/>
            <w:vAlign w:val="center"/>
          </w:tcPr>
          <w:p w14:paraId="1D855BC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hint="eastAsia" w:ascii="黑体" w:hAnsi="黑体" w:eastAsia="黑体" w:cs="黑体"/>
                <w:color w:val="000000" w:themeColor="text1"/>
                <w:kern w:val="2"/>
                <w:sz w:val="21"/>
                <w:szCs w:val="24"/>
                <w:lang w:val="en-US" w:eastAsia="zh-CN" w:bidi="ar-SA"/>
                <w14:textFill>
                  <w14:solidFill>
                    <w14:schemeClr w14:val="tx1"/>
                  </w14:solidFill>
                </w14:textFill>
              </w:rPr>
            </w:pPr>
            <w:r>
              <w:rPr>
                <w:rFonts w:hint="eastAsia" w:ascii="黑体" w:hAnsi="黑体" w:eastAsia="黑体" w:cs="黑体"/>
                <w:b/>
                <w:bCs/>
                <w:color w:val="000000" w:themeColor="text1"/>
                <w:kern w:val="0"/>
                <w:sz w:val="24"/>
                <w:szCs w:val="24"/>
                <w:lang w:val="en-US" w:eastAsia="zh-CN" w:bidi="ar"/>
                <w14:textFill>
                  <w14:solidFill>
                    <w14:schemeClr w14:val="tx1"/>
                  </w14:solidFill>
                </w14:textFill>
              </w:rPr>
              <w:t>病种名称</w:t>
            </w:r>
          </w:p>
        </w:tc>
        <w:tc>
          <w:tcPr>
            <w:tcW w:w="4236" w:type="dxa"/>
            <w:shd w:val="clear" w:color="auto" w:fill="auto"/>
            <w:vAlign w:val="center"/>
          </w:tcPr>
          <w:p w14:paraId="74E0CA1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eastAsia" w:ascii="黑体" w:hAnsi="黑体" w:eastAsia="黑体" w:cs="黑体"/>
                <w:b/>
                <w:bCs/>
                <w:color w:val="000000" w:themeColor="text1"/>
                <w:kern w:val="0"/>
                <w:sz w:val="24"/>
                <w:szCs w:val="24"/>
                <w:lang w:val="en-US" w:eastAsia="zh-CN" w:bidi="ar"/>
                <w14:textFill>
                  <w14:solidFill>
                    <w14:schemeClr w14:val="tx1"/>
                  </w14:solidFill>
                </w14:textFill>
              </w:rPr>
            </w:pPr>
            <w:r>
              <w:rPr>
                <w:rFonts w:hint="eastAsia" w:ascii="黑体" w:hAnsi="黑体" w:eastAsia="黑体" w:cs="黑体"/>
                <w:b/>
                <w:bCs/>
                <w:color w:val="000000" w:themeColor="text1"/>
                <w:kern w:val="0"/>
                <w:sz w:val="24"/>
                <w:szCs w:val="24"/>
                <w:lang w:val="en-US" w:eastAsia="zh-CN" w:bidi="ar"/>
                <w14:textFill>
                  <w14:solidFill>
                    <w14:schemeClr w14:val="tx1"/>
                  </w14:solidFill>
                </w14:textFill>
              </w:rPr>
              <w:t>同时提供确认及诊疗的医疗机构</w:t>
            </w:r>
          </w:p>
          <w:p w14:paraId="02CB696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hint="eastAsia" w:ascii="黑体" w:hAnsi="黑体" w:eastAsia="黑体" w:cs="黑体"/>
                <w:color w:val="000000" w:themeColor="text1"/>
                <w:kern w:val="2"/>
                <w:sz w:val="21"/>
                <w:szCs w:val="24"/>
                <w:lang w:val="en-US" w:eastAsia="zh-CN" w:bidi="ar-SA"/>
                <w14:textFill>
                  <w14:solidFill>
                    <w14:schemeClr w14:val="tx1"/>
                  </w14:solidFill>
                </w14:textFill>
              </w:rPr>
            </w:pPr>
            <w:r>
              <w:rPr>
                <w:rFonts w:hint="eastAsia" w:ascii="黑体" w:hAnsi="黑体" w:eastAsia="黑体" w:cs="黑体"/>
                <w:b/>
                <w:bCs/>
                <w:color w:val="000000" w:themeColor="text1"/>
                <w:kern w:val="0"/>
                <w:sz w:val="24"/>
                <w:szCs w:val="24"/>
                <w:lang w:val="en-US" w:eastAsia="zh-CN" w:bidi="ar"/>
                <w14:textFill>
                  <w14:solidFill>
                    <w14:schemeClr w14:val="tx1"/>
                  </w14:solidFill>
                </w14:textFill>
              </w:rPr>
              <w:t>（需同时符合）</w:t>
            </w:r>
          </w:p>
        </w:tc>
        <w:tc>
          <w:tcPr>
            <w:tcW w:w="1824" w:type="dxa"/>
            <w:shd w:val="clear" w:color="auto" w:fill="auto"/>
            <w:vAlign w:val="center"/>
          </w:tcPr>
          <w:p w14:paraId="378DE29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hint="eastAsia" w:ascii="黑体" w:hAnsi="黑体" w:eastAsia="黑体" w:cs="黑体"/>
                <w:color w:val="000000" w:themeColor="text1"/>
                <w:kern w:val="2"/>
                <w:sz w:val="21"/>
                <w:szCs w:val="24"/>
                <w:lang w:val="en-US" w:eastAsia="zh-CN" w:bidi="ar-SA"/>
                <w14:textFill>
                  <w14:solidFill>
                    <w14:schemeClr w14:val="tx1"/>
                  </w14:solidFill>
                </w14:textFill>
              </w:rPr>
            </w:pPr>
            <w:r>
              <w:rPr>
                <w:rFonts w:hint="eastAsia" w:ascii="黑体" w:hAnsi="黑体" w:eastAsia="黑体" w:cs="黑体"/>
                <w:b/>
                <w:bCs/>
                <w:color w:val="000000" w:themeColor="text1"/>
                <w:kern w:val="0"/>
                <w:sz w:val="24"/>
                <w:szCs w:val="24"/>
                <w:lang w:val="en-US" w:eastAsia="zh-CN" w:bidi="ar"/>
                <w14:textFill>
                  <w14:solidFill>
                    <w14:schemeClr w14:val="tx1"/>
                  </w14:solidFill>
                </w14:textFill>
              </w:rPr>
              <w:t>仅提供诊疗的医疗机构</w:t>
            </w:r>
          </w:p>
        </w:tc>
      </w:tr>
      <w:tr w14:paraId="5196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1C55E05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w:t>
            </w:r>
          </w:p>
        </w:tc>
        <w:tc>
          <w:tcPr>
            <w:tcW w:w="1632" w:type="dxa"/>
            <w:shd w:val="clear" w:color="auto" w:fill="auto"/>
            <w:vAlign w:val="center"/>
          </w:tcPr>
          <w:p w14:paraId="4958149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慢性阻塞性肺疾病</w:t>
            </w:r>
          </w:p>
        </w:tc>
        <w:tc>
          <w:tcPr>
            <w:tcW w:w="4236" w:type="dxa"/>
            <w:shd w:val="clear" w:color="auto" w:fill="auto"/>
            <w:vAlign w:val="center"/>
          </w:tcPr>
          <w:p w14:paraId="227882C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38B7CBC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371322E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left"/>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3.具有内科或全科医疗科诊疗科目</w:t>
            </w:r>
          </w:p>
        </w:tc>
        <w:tc>
          <w:tcPr>
            <w:tcW w:w="1824" w:type="dxa"/>
            <w:vMerge w:val="restart"/>
            <w:shd w:val="clear" w:color="auto" w:fill="auto"/>
            <w:vAlign w:val="center"/>
          </w:tcPr>
          <w:p w14:paraId="270893A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具有内科、全科医疗科或中医科诊疗科目</w:t>
            </w:r>
          </w:p>
        </w:tc>
      </w:tr>
      <w:tr w14:paraId="3E36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07AB538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w:t>
            </w:r>
          </w:p>
        </w:tc>
        <w:tc>
          <w:tcPr>
            <w:tcW w:w="1632" w:type="dxa"/>
            <w:shd w:val="clear" w:color="auto" w:fill="auto"/>
            <w:vAlign w:val="center"/>
          </w:tcPr>
          <w:p w14:paraId="52B5DDC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高血压病</w:t>
            </w:r>
          </w:p>
        </w:tc>
        <w:tc>
          <w:tcPr>
            <w:tcW w:w="4236" w:type="dxa"/>
            <w:shd w:val="clear" w:color="auto" w:fill="auto"/>
            <w:vAlign w:val="center"/>
          </w:tcPr>
          <w:p w14:paraId="5CF69B4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1.具有内科或全科医疗科诊疗科目</w:t>
            </w:r>
          </w:p>
          <w:p w14:paraId="78D2907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2.社区卫生服务中心</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卫生院</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）或二级及以上医疗机构</w:t>
            </w:r>
          </w:p>
        </w:tc>
        <w:tc>
          <w:tcPr>
            <w:tcW w:w="1824" w:type="dxa"/>
            <w:vMerge w:val="continue"/>
            <w:shd w:val="clear" w:color="auto" w:fill="auto"/>
            <w:tcMar>
              <w:top w:w="0" w:type="dxa"/>
              <w:left w:w="0" w:type="dxa"/>
              <w:bottom w:w="0" w:type="dxa"/>
              <w:right w:w="0" w:type="dxa"/>
            </w:tcMar>
            <w:vAlign w:val="center"/>
          </w:tcPr>
          <w:p w14:paraId="7287FD44">
            <w:pPr>
              <w:pageBreakBefore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jc w:val="center"/>
              <w:rPr>
                <w:rFonts w:hint="eastAsia" w:ascii="Times New Roman" w:hAnsi="Times New Roman" w:cs="Times New Roman"/>
                <w:color w:val="000000" w:themeColor="text1"/>
                <w:sz w:val="24"/>
                <w:szCs w:val="24"/>
                <w14:textFill>
                  <w14:solidFill>
                    <w14:schemeClr w14:val="tx1"/>
                  </w14:solidFill>
                </w14:textFill>
              </w:rPr>
            </w:pPr>
          </w:p>
        </w:tc>
      </w:tr>
      <w:tr w14:paraId="6176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816" w:type="dxa"/>
            <w:shd w:val="clear" w:color="auto" w:fill="auto"/>
            <w:vAlign w:val="center"/>
          </w:tcPr>
          <w:p w14:paraId="3681DDD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w:t>
            </w:r>
          </w:p>
        </w:tc>
        <w:tc>
          <w:tcPr>
            <w:tcW w:w="1632" w:type="dxa"/>
            <w:shd w:val="clear" w:color="auto" w:fill="auto"/>
            <w:vAlign w:val="center"/>
          </w:tcPr>
          <w:p w14:paraId="1CF2230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冠心病</w:t>
            </w:r>
          </w:p>
        </w:tc>
        <w:tc>
          <w:tcPr>
            <w:tcW w:w="4236" w:type="dxa"/>
            <w:shd w:val="clear" w:color="auto" w:fill="auto"/>
            <w:vAlign w:val="center"/>
          </w:tcPr>
          <w:p w14:paraId="44D2ACF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509C401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78BF570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left"/>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3.具有内科或全科医疗科诊疗科目</w:t>
            </w:r>
          </w:p>
        </w:tc>
        <w:tc>
          <w:tcPr>
            <w:tcW w:w="1824" w:type="dxa"/>
            <w:vMerge w:val="continue"/>
            <w:shd w:val="clear" w:color="auto" w:fill="auto"/>
            <w:vAlign w:val="center"/>
          </w:tcPr>
          <w:p w14:paraId="76CDDB6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p>
        </w:tc>
      </w:tr>
      <w:tr w14:paraId="7C1F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blHeader/>
          <w:jc w:val="center"/>
        </w:trPr>
        <w:tc>
          <w:tcPr>
            <w:tcW w:w="816" w:type="dxa"/>
            <w:shd w:val="clear" w:color="auto" w:fill="auto"/>
            <w:vAlign w:val="center"/>
          </w:tcPr>
          <w:p w14:paraId="5548F63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w:t>
            </w:r>
          </w:p>
        </w:tc>
        <w:tc>
          <w:tcPr>
            <w:tcW w:w="1632" w:type="dxa"/>
            <w:shd w:val="clear" w:color="auto" w:fill="auto"/>
            <w:vAlign w:val="center"/>
          </w:tcPr>
          <w:p w14:paraId="01CADA9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慢性心功能不全</w:t>
            </w:r>
          </w:p>
        </w:tc>
        <w:tc>
          <w:tcPr>
            <w:tcW w:w="4236" w:type="dxa"/>
            <w:shd w:val="clear" w:color="auto" w:fill="auto"/>
            <w:vAlign w:val="center"/>
          </w:tcPr>
          <w:p w14:paraId="3D40280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04E8E32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4FD233E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left"/>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3.具有内科或全科医疗科诊疗科目</w:t>
            </w:r>
          </w:p>
        </w:tc>
        <w:tc>
          <w:tcPr>
            <w:tcW w:w="1824" w:type="dxa"/>
            <w:vMerge w:val="continue"/>
            <w:shd w:val="clear" w:color="auto" w:fill="auto"/>
            <w:vAlign w:val="center"/>
          </w:tcPr>
          <w:p w14:paraId="32EF87C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p>
        </w:tc>
      </w:tr>
      <w:tr w14:paraId="7545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774A752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5</w:t>
            </w:r>
          </w:p>
        </w:tc>
        <w:tc>
          <w:tcPr>
            <w:tcW w:w="1632" w:type="dxa"/>
            <w:shd w:val="clear" w:color="auto" w:fill="auto"/>
            <w:vAlign w:val="center"/>
          </w:tcPr>
          <w:p w14:paraId="6921B22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肝硬化</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失代偿期</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1AE7BF2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3EC8E79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4D6B88A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3.具有内科诊疗科目</w:t>
            </w:r>
          </w:p>
        </w:tc>
        <w:tc>
          <w:tcPr>
            <w:tcW w:w="1824" w:type="dxa"/>
            <w:vMerge w:val="continue"/>
            <w:shd w:val="clear" w:color="auto" w:fill="auto"/>
            <w:vAlign w:val="center"/>
          </w:tcPr>
          <w:p w14:paraId="524B107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692A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6F6CE99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6</w:t>
            </w:r>
          </w:p>
        </w:tc>
        <w:tc>
          <w:tcPr>
            <w:tcW w:w="1632" w:type="dxa"/>
            <w:shd w:val="clear" w:color="auto" w:fill="auto"/>
            <w:vAlign w:val="center"/>
          </w:tcPr>
          <w:p w14:paraId="1E4ACEC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慢性肾功能不全</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非透析治疗</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57BD5F5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6EDE9BF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3034210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3.具有内科诊疗科目</w:t>
            </w:r>
          </w:p>
        </w:tc>
        <w:tc>
          <w:tcPr>
            <w:tcW w:w="1824" w:type="dxa"/>
            <w:vMerge w:val="continue"/>
            <w:shd w:val="clear" w:color="auto" w:fill="auto"/>
            <w:vAlign w:val="center"/>
          </w:tcPr>
          <w:p w14:paraId="57279DA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4C97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2DA876B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7</w:t>
            </w:r>
          </w:p>
        </w:tc>
        <w:tc>
          <w:tcPr>
            <w:tcW w:w="1632" w:type="dxa"/>
            <w:shd w:val="clear" w:color="auto" w:fill="auto"/>
            <w:vAlign w:val="center"/>
          </w:tcPr>
          <w:p w14:paraId="25C9A40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糖尿病</w:t>
            </w:r>
          </w:p>
        </w:tc>
        <w:tc>
          <w:tcPr>
            <w:tcW w:w="4236" w:type="dxa"/>
            <w:shd w:val="clear" w:color="auto" w:fill="auto"/>
            <w:vAlign w:val="center"/>
          </w:tcPr>
          <w:p w14:paraId="3ED5AD2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1.具有内科或全科医疗科诊疗科目</w:t>
            </w:r>
          </w:p>
          <w:p w14:paraId="075E589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2.社区卫生服务中心</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卫生院</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或二级及以上医疗机构</w:t>
            </w:r>
          </w:p>
        </w:tc>
        <w:tc>
          <w:tcPr>
            <w:tcW w:w="1824" w:type="dxa"/>
            <w:vMerge w:val="continue"/>
            <w:shd w:val="clear" w:color="auto" w:fill="auto"/>
            <w:vAlign w:val="center"/>
          </w:tcPr>
          <w:p w14:paraId="7233B55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306D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172B246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8</w:t>
            </w:r>
          </w:p>
        </w:tc>
        <w:tc>
          <w:tcPr>
            <w:tcW w:w="1632" w:type="dxa"/>
            <w:shd w:val="clear" w:color="auto" w:fill="auto"/>
            <w:vAlign w:val="center"/>
          </w:tcPr>
          <w:p w14:paraId="1FBCAEC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类风湿关节炎</w:t>
            </w:r>
          </w:p>
        </w:tc>
        <w:tc>
          <w:tcPr>
            <w:tcW w:w="4236" w:type="dxa"/>
            <w:shd w:val="clear" w:color="auto" w:fill="auto"/>
            <w:vAlign w:val="center"/>
          </w:tcPr>
          <w:p w14:paraId="6D7A13F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7208106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2E9E7E2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left"/>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3.具有免疫学诊疗科目</w:t>
            </w:r>
          </w:p>
        </w:tc>
        <w:tc>
          <w:tcPr>
            <w:tcW w:w="1824" w:type="dxa"/>
            <w:vMerge w:val="continue"/>
            <w:shd w:val="clear" w:color="auto" w:fill="auto"/>
            <w:vAlign w:val="center"/>
          </w:tcPr>
          <w:p w14:paraId="1065830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p>
        </w:tc>
      </w:tr>
      <w:tr w14:paraId="0132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6156E04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9</w:t>
            </w:r>
          </w:p>
        </w:tc>
        <w:tc>
          <w:tcPr>
            <w:tcW w:w="1632" w:type="dxa"/>
            <w:shd w:val="clear" w:color="auto" w:fill="auto"/>
            <w:vAlign w:val="center"/>
          </w:tcPr>
          <w:p w14:paraId="5733B70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帕金森病</w:t>
            </w:r>
          </w:p>
        </w:tc>
        <w:tc>
          <w:tcPr>
            <w:tcW w:w="4236" w:type="dxa"/>
            <w:shd w:val="clear" w:color="auto" w:fill="auto"/>
            <w:vAlign w:val="center"/>
          </w:tcPr>
          <w:p w14:paraId="56871DF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0E459C7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5FF4C48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3.具有神经内科或神经外科诊疗科目</w:t>
            </w:r>
          </w:p>
        </w:tc>
        <w:tc>
          <w:tcPr>
            <w:tcW w:w="1824" w:type="dxa"/>
            <w:vMerge w:val="continue"/>
            <w:shd w:val="clear" w:color="auto" w:fill="auto"/>
            <w:vAlign w:val="center"/>
          </w:tcPr>
          <w:p w14:paraId="08CF7F2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3712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5597B23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10</w:t>
            </w:r>
          </w:p>
        </w:tc>
        <w:tc>
          <w:tcPr>
            <w:tcW w:w="1632" w:type="dxa"/>
            <w:shd w:val="clear" w:color="auto" w:fill="auto"/>
            <w:vAlign w:val="center"/>
          </w:tcPr>
          <w:p w14:paraId="32F5405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癫痫</w:t>
            </w:r>
          </w:p>
        </w:tc>
        <w:tc>
          <w:tcPr>
            <w:tcW w:w="4236" w:type="dxa"/>
            <w:shd w:val="clear" w:color="auto" w:fill="auto"/>
            <w:vAlign w:val="center"/>
          </w:tcPr>
          <w:p w14:paraId="639021B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325B0EA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0889EBF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3.具有神经内科或神经外科或小儿神经病学诊疗科目</w:t>
            </w:r>
          </w:p>
        </w:tc>
        <w:tc>
          <w:tcPr>
            <w:tcW w:w="1824" w:type="dxa"/>
            <w:vMerge w:val="continue"/>
            <w:shd w:val="clear" w:color="auto" w:fill="auto"/>
            <w:vAlign w:val="center"/>
          </w:tcPr>
          <w:p w14:paraId="1141CBB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4C5B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3467091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11</w:t>
            </w:r>
          </w:p>
        </w:tc>
        <w:tc>
          <w:tcPr>
            <w:tcW w:w="1632" w:type="dxa"/>
            <w:shd w:val="clear" w:color="auto" w:fill="auto"/>
            <w:vAlign w:val="center"/>
          </w:tcPr>
          <w:p w14:paraId="77BA8B1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脑血管疾病后遗症</w:t>
            </w:r>
          </w:p>
        </w:tc>
        <w:tc>
          <w:tcPr>
            <w:tcW w:w="4236" w:type="dxa"/>
            <w:shd w:val="clear" w:color="auto" w:fill="auto"/>
            <w:vAlign w:val="center"/>
          </w:tcPr>
          <w:p w14:paraId="784772C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340F4E1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60D4051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3.具有内科或全科医疗科诊疗科目</w:t>
            </w:r>
          </w:p>
        </w:tc>
        <w:tc>
          <w:tcPr>
            <w:tcW w:w="1824" w:type="dxa"/>
            <w:vMerge w:val="continue"/>
            <w:shd w:val="clear" w:color="auto" w:fill="auto"/>
            <w:vAlign w:val="center"/>
          </w:tcPr>
          <w:p w14:paraId="5CFDB38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11AB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0A6411F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12</w:t>
            </w:r>
          </w:p>
        </w:tc>
        <w:tc>
          <w:tcPr>
            <w:tcW w:w="1632" w:type="dxa"/>
            <w:shd w:val="clear" w:color="auto" w:fill="auto"/>
            <w:vAlign w:val="center"/>
          </w:tcPr>
          <w:p w14:paraId="0AD2142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艾滋病</w:t>
            </w:r>
          </w:p>
        </w:tc>
        <w:tc>
          <w:tcPr>
            <w:tcW w:w="4236" w:type="dxa"/>
            <w:shd w:val="clear" w:color="auto" w:fill="auto"/>
            <w:vAlign w:val="center"/>
          </w:tcPr>
          <w:p w14:paraId="61950D6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广东省艾滋病治疗定点医院</w:t>
            </w:r>
          </w:p>
        </w:tc>
        <w:tc>
          <w:tcPr>
            <w:tcW w:w="1824" w:type="dxa"/>
            <w:shd w:val="clear" w:color="auto" w:fill="auto"/>
            <w:vAlign w:val="center"/>
          </w:tcPr>
          <w:p w14:paraId="0C89DA9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广东省艾滋病治疗定点医院</w:t>
            </w:r>
          </w:p>
        </w:tc>
      </w:tr>
      <w:tr w14:paraId="5C66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3464B18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13</w:t>
            </w:r>
          </w:p>
        </w:tc>
        <w:tc>
          <w:tcPr>
            <w:tcW w:w="1632" w:type="dxa"/>
            <w:shd w:val="clear" w:color="auto" w:fill="auto"/>
            <w:vAlign w:val="center"/>
          </w:tcPr>
          <w:p w14:paraId="728BCEE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系统性红斑狼疮</w:t>
            </w:r>
          </w:p>
        </w:tc>
        <w:tc>
          <w:tcPr>
            <w:tcW w:w="4236" w:type="dxa"/>
            <w:shd w:val="clear" w:color="auto" w:fill="auto"/>
            <w:vAlign w:val="center"/>
          </w:tcPr>
          <w:p w14:paraId="7428CE5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1A00F45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17C3279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3.具有免疫学或皮肤科诊疗科目</w:t>
            </w:r>
          </w:p>
        </w:tc>
        <w:tc>
          <w:tcPr>
            <w:tcW w:w="1824" w:type="dxa"/>
            <w:vMerge w:val="restart"/>
            <w:shd w:val="clear" w:color="auto" w:fill="auto"/>
            <w:vAlign w:val="center"/>
          </w:tcPr>
          <w:p w14:paraId="31E0722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具有内科、全科医疗科或中医科诊疗科目</w:t>
            </w:r>
          </w:p>
        </w:tc>
      </w:tr>
      <w:tr w14:paraId="1A5A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273BDC1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14</w:t>
            </w:r>
          </w:p>
        </w:tc>
        <w:tc>
          <w:tcPr>
            <w:tcW w:w="1632" w:type="dxa"/>
            <w:shd w:val="clear" w:color="auto" w:fill="auto"/>
            <w:vAlign w:val="center"/>
          </w:tcPr>
          <w:p w14:paraId="075F238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肺动脉高压</w:t>
            </w:r>
          </w:p>
        </w:tc>
        <w:tc>
          <w:tcPr>
            <w:tcW w:w="4236" w:type="dxa"/>
            <w:shd w:val="clear" w:color="auto" w:fill="auto"/>
            <w:vAlign w:val="center"/>
          </w:tcPr>
          <w:p w14:paraId="3A92CF9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320CFF6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4BEFDA7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3.具有呼吸内科诊疗科目</w:t>
            </w:r>
          </w:p>
        </w:tc>
        <w:tc>
          <w:tcPr>
            <w:tcW w:w="1824" w:type="dxa"/>
            <w:vMerge w:val="continue"/>
            <w:shd w:val="clear" w:color="auto" w:fill="auto"/>
            <w:vAlign w:val="center"/>
          </w:tcPr>
          <w:p w14:paraId="0395A03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5A74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451742D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15</w:t>
            </w:r>
          </w:p>
        </w:tc>
        <w:tc>
          <w:tcPr>
            <w:tcW w:w="1632" w:type="dxa"/>
            <w:shd w:val="clear" w:color="auto" w:fill="auto"/>
            <w:vAlign w:val="center"/>
          </w:tcPr>
          <w:p w14:paraId="4D0973B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支气管哮喘</w:t>
            </w:r>
          </w:p>
        </w:tc>
        <w:tc>
          <w:tcPr>
            <w:tcW w:w="4236" w:type="dxa"/>
            <w:shd w:val="clear" w:color="auto" w:fill="auto"/>
            <w:vAlign w:val="center"/>
          </w:tcPr>
          <w:p w14:paraId="565BB48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5FE1B23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7B582DE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3.具有呼吸内科诊疗科目</w:t>
            </w:r>
          </w:p>
        </w:tc>
        <w:tc>
          <w:tcPr>
            <w:tcW w:w="1824" w:type="dxa"/>
            <w:vMerge w:val="continue"/>
            <w:shd w:val="clear" w:color="auto" w:fill="auto"/>
            <w:vAlign w:val="center"/>
          </w:tcPr>
          <w:p w14:paraId="5E43FBC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p>
        </w:tc>
      </w:tr>
      <w:tr w14:paraId="6BCD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22" w:hRule="atLeast"/>
          <w:jc w:val="center"/>
        </w:trPr>
        <w:tc>
          <w:tcPr>
            <w:tcW w:w="816" w:type="dxa"/>
            <w:shd w:val="clear" w:color="auto" w:fill="auto"/>
            <w:vAlign w:val="center"/>
          </w:tcPr>
          <w:p w14:paraId="56542D5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16</w:t>
            </w:r>
          </w:p>
        </w:tc>
        <w:tc>
          <w:tcPr>
            <w:tcW w:w="1632" w:type="dxa"/>
            <w:shd w:val="clear" w:color="auto" w:fill="auto"/>
            <w:vAlign w:val="center"/>
          </w:tcPr>
          <w:p w14:paraId="0341D02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慢性乙型肝炎</w:t>
            </w:r>
          </w:p>
        </w:tc>
        <w:tc>
          <w:tcPr>
            <w:tcW w:w="4236" w:type="dxa"/>
            <w:shd w:val="clear" w:color="auto" w:fill="auto"/>
            <w:vAlign w:val="center"/>
          </w:tcPr>
          <w:p w14:paraId="7956BFA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揭阳市病毒性肝炎早防早治项目诊疗工作定点医院</w:t>
            </w:r>
          </w:p>
        </w:tc>
        <w:tc>
          <w:tcPr>
            <w:tcW w:w="1824" w:type="dxa"/>
            <w:shd w:val="clear" w:color="auto" w:fill="auto"/>
            <w:vAlign w:val="center"/>
          </w:tcPr>
          <w:p w14:paraId="1CF472E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揭阳市病毒性肝炎早防早治项目诊疗工作定点医院</w:t>
            </w:r>
          </w:p>
        </w:tc>
      </w:tr>
      <w:tr w14:paraId="31B6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3DBC94C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17</w:t>
            </w:r>
          </w:p>
        </w:tc>
        <w:tc>
          <w:tcPr>
            <w:tcW w:w="1632" w:type="dxa"/>
            <w:shd w:val="clear" w:color="auto" w:fill="auto"/>
            <w:vAlign w:val="center"/>
          </w:tcPr>
          <w:p w14:paraId="6DD784F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肾脏移植术后抗排异治疗</w:t>
            </w:r>
          </w:p>
        </w:tc>
        <w:tc>
          <w:tcPr>
            <w:tcW w:w="4236" w:type="dxa"/>
            <w:shd w:val="clear" w:color="auto" w:fill="auto"/>
            <w:vAlign w:val="center"/>
          </w:tcPr>
          <w:p w14:paraId="3BB9DE3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57ECBB7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2.医疗机构级别为三级</w:t>
            </w:r>
          </w:p>
          <w:p w14:paraId="0184E5F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left"/>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3.具有内科或外科诊疗科目</w:t>
            </w:r>
          </w:p>
        </w:tc>
        <w:tc>
          <w:tcPr>
            <w:tcW w:w="1824" w:type="dxa"/>
            <w:shd w:val="clear" w:color="auto" w:fill="auto"/>
            <w:vAlign w:val="center"/>
          </w:tcPr>
          <w:p w14:paraId="4DDF3C2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6AF3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23182BB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18</w:t>
            </w:r>
          </w:p>
        </w:tc>
        <w:tc>
          <w:tcPr>
            <w:tcW w:w="1632" w:type="dxa"/>
            <w:shd w:val="clear" w:color="auto" w:fill="auto"/>
            <w:vAlign w:val="center"/>
          </w:tcPr>
          <w:p w14:paraId="443BA7D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造血干细胞移植后抗排异治疗</w:t>
            </w:r>
          </w:p>
        </w:tc>
        <w:tc>
          <w:tcPr>
            <w:tcW w:w="4236" w:type="dxa"/>
            <w:shd w:val="clear" w:color="auto" w:fill="auto"/>
            <w:vAlign w:val="center"/>
          </w:tcPr>
          <w:p w14:paraId="6EDF227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4A590E5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2.医疗机构级别为三级</w:t>
            </w:r>
          </w:p>
          <w:p w14:paraId="55F5C8C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3.具有内科或外科诊疗科目</w:t>
            </w:r>
          </w:p>
        </w:tc>
        <w:tc>
          <w:tcPr>
            <w:tcW w:w="1824" w:type="dxa"/>
            <w:shd w:val="clear" w:color="auto" w:fill="auto"/>
            <w:vAlign w:val="center"/>
          </w:tcPr>
          <w:p w14:paraId="5AC5942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4797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25BF471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19</w:t>
            </w:r>
          </w:p>
        </w:tc>
        <w:tc>
          <w:tcPr>
            <w:tcW w:w="1632" w:type="dxa"/>
            <w:shd w:val="clear" w:color="auto" w:fill="auto"/>
            <w:vAlign w:val="center"/>
          </w:tcPr>
          <w:p w14:paraId="1F0CD49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恶性肿瘤</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非放化疗</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2DABA05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6D083AE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2.医疗机构级别为三级</w:t>
            </w:r>
          </w:p>
          <w:p w14:paraId="32EF055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3.具有肿瘤科诊疗科目</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妇女儿童类恶性肿瘤可由相关专科医院确认和治疗</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1824" w:type="dxa"/>
            <w:shd w:val="clear" w:color="auto" w:fill="auto"/>
            <w:vAlign w:val="center"/>
          </w:tcPr>
          <w:p w14:paraId="6CE9EB0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具有内科、全科医疗科或儿科诊疗科目</w:t>
            </w:r>
          </w:p>
        </w:tc>
      </w:tr>
      <w:tr w14:paraId="4945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7B71A84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20</w:t>
            </w:r>
          </w:p>
        </w:tc>
        <w:tc>
          <w:tcPr>
            <w:tcW w:w="1632" w:type="dxa"/>
            <w:shd w:val="clear" w:color="auto" w:fill="auto"/>
            <w:vAlign w:val="center"/>
          </w:tcPr>
          <w:p w14:paraId="0BC768E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耐多药肺结核</w:t>
            </w:r>
          </w:p>
        </w:tc>
        <w:tc>
          <w:tcPr>
            <w:tcW w:w="4236" w:type="dxa"/>
            <w:vMerge w:val="restart"/>
            <w:shd w:val="clear" w:color="auto" w:fill="auto"/>
            <w:vAlign w:val="center"/>
          </w:tcPr>
          <w:p w14:paraId="712DF99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揭阳</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市结核病定点医院</w:t>
            </w:r>
          </w:p>
        </w:tc>
        <w:tc>
          <w:tcPr>
            <w:tcW w:w="1824" w:type="dxa"/>
            <w:vMerge w:val="restart"/>
            <w:shd w:val="clear" w:color="auto" w:fill="auto"/>
            <w:vAlign w:val="center"/>
          </w:tcPr>
          <w:p w14:paraId="7D278EC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揭阳</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市结核病定点医院</w:t>
            </w:r>
          </w:p>
        </w:tc>
      </w:tr>
      <w:tr w14:paraId="10B9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448013A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21</w:t>
            </w:r>
          </w:p>
        </w:tc>
        <w:tc>
          <w:tcPr>
            <w:tcW w:w="1632" w:type="dxa"/>
            <w:shd w:val="clear" w:color="auto" w:fill="auto"/>
            <w:vAlign w:val="center"/>
          </w:tcPr>
          <w:p w14:paraId="0D59C04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活动性肺结核</w:t>
            </w:r>
          </w:p>
        </w:tc>
        <w:tc>
          <w:tcPr>
            <w:tcW w:w="4236" w:type="dxa"/>
            <w:vMerge w:val="continue"/>
            <w:shd w:val="clear" w:color="auto" w:fill="auto"/>
            <w:vAlign w:val="center"/>
          </w:tcPr>
          <w:p w14:paraId="0C7CFF2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highlight w:val="none"/>
                <w14:textFill>
                  <w14:solidFill>
                    <w14:schemeClr w14:val="tx1"/>
                  </w14:solidFill>
                </w14:textFill>
              </w:rPr>
            </w:pPr>
          </w:p>
        </w:tc>
        <w:tc>
          <w:tcPr>
            <w:tcW w:w="1824" w:type="dxa"/>
            <w:vMerge w:val="continue"/>
            <w:shd w:val="clear" w:color="auto" w:fill="auto"/>
            <w:vAlign w:val="center"/>
          </w:tcPr>
          <w:p w14:paraId="52C67F8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p>
        </w:tc>
      </w:tr>
      <w:tr w14:paraId="273E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074F950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22</w:t>
            </w:r>
          </w:p>
        </w:tc>
        <w:tc>
          <w:tcPr>
            <w:tcW w:w="1632" w:type="dxa"/>
            <w:shd w:val="clear" w:color="auto" w:fill="auto"/>
            <w:vAlign w:val="center"/>
          </w:tcPr>
          <w:p w14:paraId="45D3379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丙型肝炎</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HCVRNA阳性</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224EED7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揭阳市病毒性肝炎早防早治项目诊疗工作定点医院</w:t>
            </w:r>
          </w:p>
        </w:tc>
        <w:tc>
          <w:tcPr>
            <w:tcW w:w="1824" w:type="dxa"/>
            <w:shd w:val="clear" w:color="auto" w:fill="auto"/>
            <w:vAlign w:val="center"/>
          </w:tcPr>
          <w:p w14:paraId="452B79C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eastAsia" w:ascii="Times New Roman" w:hAnsi="Times New Roman" w:cs="Times New Roman" w:eastAsiaTheme="minor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揭阳市病毒性肝炎早防早治项目诊疗工作定点医院</w:t>
            </w:r>
          </w:p>
        </w:tc>
      </w:tr>
      <w:tr w14:paraId="3193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1EEC767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color w:val="000000" w:themeColor="text1"/>
                <w:kern w:val="0"/>
                <w:sz w:val="24"/>
                <w:szCs w:val="24"/>
                <w:highlight w:val="cyan"/>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23</w:t>
            </w:r>
          </w:p>
        </w:tc>
        <w:tc>
          <w:tcPr>
            <w:tcW w:w="1632" w:type="dxa"/>
            <w:shd w:val="clear" w:color="auto" w:fill="auto"/>
            <w:vAlign w:val="center"/>
          </w:tcPr>
          <w:p w14:paraId="3F9A90E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不孕不育辅助生殖技术治疗</w:t>
            </w:r>
          </w:p>
        </w:tc>
        <w:tc>
          <w:tcPr>
            <w:tcW w:w="4236" w:type="dxa"/>
            <w:shd w:val="clear" w:color="auto" w:fill="auto"/>
            <w:vAlign w:val="center"/>
          </w:tcPr>
          <w:p w14:paraId="73972DB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经批准开展辅助生殖技术服务的医疗机构</w:t>
            </w:r>
          </w:p>
        </w:tc>
        <w:tc>
          <w:tcPr>
            <w:tcW w:w="1824" w:type="dxa"/>
            <w:shd w:val="clear" w:color="auto" w:fill="auto"/>
            <w:vAlign w:val="center"/>
          </w:tcPr>
          <w:p w14:paraId="0C8EB6D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经批准开展辅助生殖技术服务的医疗机构</w:t>
            </w:r>
          </w:p>
        </w:tc>
      </w:tr>
      <w:tr w14:paraId="16D9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17FC01E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24</w:t>
            </w:r>
          </w:p>
        </w:tc>
        <w:tc>
          <w:tcPr>
            <w:tcW w:w="1632" w:type="dxa"/>
            <w:shd w:val="clear" w:color="auto" w:fill="auto"/>
            <w:vAlign w:val="center"/>
          </w:tcPr>
          <w:p w14:paraId="07847E1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地中海贫血</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海洋性贫血或珠蛋白生成障碍性贫血</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0930AB1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1D2714D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6309A5E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3.具有血液内科或小儿血液病专业诊疗科目</w:t>
            </w:r>
          </w:p>
        </w:tc>
        <w:tc>
          <w:tcPr>
            <w:tcW w:w="1824" w:type="dxa"/>
            <w:shd w:val="clear" w:color="auto" w:fill="auto"/>
            <w:vAlign w:val="center"/>
          </w:tcPr>
          <w:p w14:paraId="08C96F6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22C3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4A404FB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25</w:t>
            </w:r>
          </w:p>
        </w:tc>
        <w:tc>
          <w:tcPr>
            <w:tcW w:w="1632" w:type="dxa"/>
            <w:shd w:val="clear" w:color="auto" w:fill="auto"/>
            <w:vAlign w:val="center"/>
          </w:tcPr>
          <w:p w14:paraId="21FD70C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血友病</w:t>
            </w:r>
          </w:p>
        </w:tc>
        <w:tc>
          <w:tcPr>
            <w:tcW w:w="4236" w:type="dxa"/>
            <w:shd w:val="clear" w:color="auto" w:fill="auto"/>
            <w:vAlign w:val="center"/>
          </w:tcPr>
          <w:p w14:paraId="5459730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1A30AC9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2.医疗机构级别为三级</w:t>
            </w:r>
          </w:p>
          <w:p w14:paraId="6A321B5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3.具有血液内科或小儿血液病专业诊疗科目</w:t>
            </w:r>
          </w:p>
        </w:tc>
        <w:tc>
          <w:tcPr>
            <w:tcW w:w="1824" w:type="dxa"/>
            <w:shd w:val="clear" w:color="auto" w:fill="auto"/>
            <w:vAlign w:val="center"/>
          </w:tcPr>
          <w:p w14:paraId="6E2A166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1A21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5C87CC3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26</w:t>
            </w:r>
          </w:p>
        </w:tc>
        <w:tc>
          <w:tcPr>
            <w:tcW w:w="1632" w:type="dxa"/>
            <w:shd w:val="clear" w:color="auto" w:fill="auto"/>
            <w:vAlign w:val="center"/>
          </w:tcPr>
          <w:p w14:paraId="1FFBA0D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C型尼曼匹克病</w:t>
            </w:r>
          </w:p>
        </w:tc>
        <w:tc>
          <w:tcPr>
            <w:tcW w:w="4236" w:type="dxa"/>
            <w:shd w:val="clear" w:color="auto" w:fill="auto"/>
            <w:vAlign w:val="center"/>
          </w:tcPr>
          <w:p w14:paraId="2C11DB7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75390DC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44A0DBA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3.具有神经内科或儿科诊疗科目</w:t>
            </w:r>
          </w:p>
        </w:tc>
        <w:tc>
          <w:tcPr>
            <w:tcW w:w="1824" w:type="dxa"/>
            <w:shd w:val="clear" w:color="auto" w:fill="auto"/>
            <w:vAlign w:val="center"/>
          </w:tcPr>
          <w:p w14:paraId="29C2DE7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具有内科、全科医疗科或儿科诊疗科目</w:t>
            </w:r>
          </w:p>
        </w:tc>
      </w:tr>
      <w:tr w14:paraId="6DED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50574DF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27</w:t>
            </w:r>
          </w:p>
        </w:tc>
        <w:tc>
          <w:tcPr>
            <w:tcW w:w="1632" w:type="dxa"/>
            <w:shd w:val="clear" w:color="auto" w:fill="auto"/>
            <w:vAlign w:val="center"/>
          </w:tcPr>
          <w:p w14:paraId="18A3D75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强直性脊柱炎</w:t>
            </w:r>
          </w:p>
        </w:tc>
        <w:tc>
          <w:tcPr>
            <w:tcW w:w="4236" w:type="dxa"/>
            <w:shd w:val="clear" w:color="auto" w:fill="auto"/>
            <w:vAlign w:val="center"/>
          </w:tcPr>
          <w:p w14:paraId="1760CF8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199BF55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0348970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3.具有免疫学或骨科诊疗科目</w:t>
            </w:r>
          </w:p>
        </w:tc>
        <w:tc>
          <w:tcPr>
            <w:tcW w:w="1824" w:type="dxa"/>
            <w:shd w:val="clear" w:color="auto" w:fill="auto"/>
            <w:vAlign w:val="center"/>
          </w:tcPr>
          <w:p w14:paraId="7FFEEF8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具有内科、全科医疗科或中医科诊疗科目</w:t>
            </w:r>
          </w:p>
        </w:tc>
      </w:tr>
      <w:tr w14:paraId="44F9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00FBB21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28</w:t>
            </w:r>
          </w:p>
        </w:tc>
        <w:tc>
          <w:tcPr>
            <w:tcW w:w="1632" w:type="dxa"/>
            <w:shd w:val="clear" w:color="auto" w:fill="auto"/>
            <w:vAlign w:val="center"/>
          </w:tcPr>
          <w:p w14:paraId="60A0FCC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银屑病</w:t>
            </w:r>
          </w:p>
        </w:tc>
        <w:tc>
          <w:tcPr>
            <w:tcW w:w="4236" w:type="dxa"/>
            <w:shd w:val="clear" w:color="auto" w:fill="auto"/>
            <w:vAlign w:val="center"/>
          </w:tcPr>
          <w:p w14:paraId="763DD14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51A5A0C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758B7D4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3.具有皮肤科诊疗科目</w:t>
            </w:r>
          </w:p>
        </w:tc>
        <w:tc>
          <w:tcPr>
            <w:tcW w:w="1824" w:type="dxa"/>
            <w:shd w:val="clear" w:color="auto" w:fill="auto"/>
            <w:vAlign w:val="center"/>
          </w:tcPr>
          <w:p w14:paraId="2AB5623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具有内科、全科医疗科或皮肤科诊疗科目</w:t>
            </w:r>
          </w:p>
        </w:tc>
      </w:tr>
      <w:tr w14:paraId="64BB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59A5FDC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29</w:t>
            </w:r>
          </w:p>
        </w:tc>
        <w:tc>
          <w:tcPr>
            <w:tcW w:w="1632" w:type="dxa"/>
            <w:shd w:val="clear" w:color="auto" w:fill="auto"/>
            <w:vAlign w:val="center"/>
          </w:tcPr>
          <w:p w14:paraId="34AD631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克罗恩病</w:t>
            </w:r>
          </w:p>
        </w:tc>
        <w:tc>
          <w:tcPr>
            <w:tcW w:w="4236" w:type="dxa"/>
            <w:shd w:val="clear" w:color="auto" w:fill="auto"/>
            <w:vAlign w:val="center"/>
          </w:tcPr>
          <w:p w14:paraId="4330EEB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0942497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77B63D1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3.具有消化内科或小儿消化专业诊疗科目</w:t>
            </w:r>
          </w:p>
        </w:tc>
        <w:tc>
          <w:tcPr>
            <w:tcW w:w="1824" w:type="dxa"/>
            <w:vMerge w:val="restart"/>
            <w:shd w:val="clear" w:color="auto" w:fill="auto"/>
            <w:vAlign w:val="center"/>
          </w:tcPr>
          <w:p w14:paraId="40AB4B0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具有内科、全科医疗科或中医科诊疗科目</w:t>
            </w:r>
          </w:p>
        </w:tc>
      </w:tr>
      <w:tr w14:paraId="785C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7E0682C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30</w:t>
            </w:r>
          </w:p>
        </w:tc>
        <w:tc>
          <w:tcPr>
            <w:tcW w:w="1632" w:type="dxa"/>
            <w:shd w:val="clear" w:color="auto" w:fill="auto"/>
            <w:vAlign w:val="center"/>
          </w:tcPr>
          <w:p w14:paraId="418FF8B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溃疡性结肠炎</w:t>
            </w:r>
          </w:p>
        </w:tc>
        <w:tc>
          <w:tcPr>
            <w:tcW w:w="4236" w:type="dxa"/>
            <w:shd w:val="clear" w:color="auto" w:fill="auto"/>
            <w:vAlign w:val="center"/>
          </w:tcPr>
          <w:p w14:paraId="5A11292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0573551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1E7A48F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3.具有消化内科或小儿消化专业诊疗科目</w:t>
            </w:r>
          </w:p>
        </w:tc>
        <w:tc>
          <w:tcPr>
            <w:tcW w:w="1824" w:type="dxa"/>
            <w:vMerge w:val="continue"/>
            <w:shd w:val="clear" w:color="auto" w:fill="auto"/>
            <w:vAlign w:val="center"/>
          </w:tcPr>
          <w:p w14:paraId="175C672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223E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3310560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31</w:t>
            </w:r>
          </w:p>
        </w:tc>
        <w:tc>
          <w:tcPr>
            <w:tcW w:w="1632" w:type="dxa"/>
            <w:shd w:val="clear" w:color="auto" w:fill="auto"/>
            <w:vAlign w:val="center"/>
          </w:tcPr>
          <w:p w14:paraId="403E5EA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精神分裂症</w:t>
            </w:r>
          </w:p>
        </w:tc>
        <w:tc>
          <w:tcPr>
            <w:tcW w:w="4236" w:type="dxa"/>
            <w:shd w:val="clear" w:color="auto" w:fill="auto"/>
            <w:vAlign w:val="center"/>
          </w:tcPr>
          <w:p w14:paraId="6C58DD5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1.提供门诊及住院医保服务</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（专科疾病防治机构可仅提供门诊服务）</w:t>
            </w:r>
          </w:p>
          <w:p w14:paraId="743DE66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精神病专科医疗机构或具有精神科诊疗科目的二级及以上非专科医疗机构或具有精神科诊疗科目的专科疾病防治机构</w:t>
            </w:r>
          </w:p>
        </w:tc>
        <w:tc>
          <w:tcPr>
            <w:tcW w:w="1824" w:type="dxa"/>
            <w:vMerge w:val="restart"/>
            <w:shd w:val="clear" w:color="auto" w:fill="auto"/>
            <w:vAlign w:val="center"/>
          </w:tcPr>
          <w:p w14:paraId="5608195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具有精神科诊疗科目</w:t>
            </w:r>
          </w:p>
        </w:tc>
      </w:tr>
      <w:tr w14:paraId="2B37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7B74B0C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w:t>
            </w:r>
          </w:p>
        </w:tc>
        <w:tc>
          <w:tcPr>
            <w:tcW w:w="1632" w:type="dxa"/>
            <w:shd w:val="clear" w:color="auto" w:fill="auto"/>
            <w:vAlign w:val="center"/>
          </w:tcPr>
          <w:p w14:paraId="3E14BCF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分裂情感性障碍</w:t>
            </w:r>
          </w:p>
        </w:tc>
        <w:tc>
          <w:tcPr>
            <w:tcW w:w="4236" w:type="dxa"/>
            <w:shd w:val="clear" w:color="auto" w:fill="auto"/>
            <w:vAlign w:val="center"/>
          </w:tcPr>
          <w:p w14:paraId="0B23B7B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1.提供门诊及住院医保服务</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（专科疾病防治机构可仅提供门诊服务）</w:t>
            </w:r>
          </w:p>
          <w:p w14:paraId="0EAEE14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精神病专科医疗机构或具有精神科诊疗科目的二级及以上非专科医疗机构或具有精神科诊疗科目的专科疾病防治机构</w:t>
            </w:r>
          </w:p>
        </w:tc>
        <w:tc>
          <w:tcPr>
            <w:tcW w:w="1824" w:type="dxa"/>
            <w:vMerge w:val="continue"/>
            <w:shd w:val="clear" w:color="auto" w:fill="auto"/>
            <w:vAlign w:val="center"/>
          </w:tcPr>
          <w:p w14:paraId="78E38F5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p>
        </w:tc>
      </w:tr>
      <w:tr w14:paraId="2146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140A4E3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w:t>
            </w:r>
          </w:p>
        </w:tc>
        <w:tc>
          <w:tcPr>
            <w:tcW w:w="1632" w:type="dxa"/>
            <w:shd w:val="clear" w:color="auto" w:fill="auto"/>
            <w:vAlign w:val="center"/>
          </w:tcPr>
          <w:p w14:paraId="6B5C645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持久的妄想性障碍</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偏执性精神病</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tc>
        <w:tc>
          <w:tcPr>
            <w:tcW w:w="4236" w:type="dxa"/>
            <w:shd w:val="clear" w:color="auto" w:fill="auto"/>
            <w:vAlign w:val="center"/>
          </w:tcPr>
          <w:p w14:paraId="0BFA6DF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1.提供门诊及住院医保服务</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（专科疾病防治机构可仅提供门诊服务）</w:t>
            </w:r>
          </w:p>
          <w:p w14:paraId="151FA2C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精神病专科医疗机构或具有精神科诊疗科目的二级及以上非专科医疗机构或具有精神科诊疗科目的专科疾病防治机构</w:t>
            </w:r>
          </w:p>
        </w:tc>
        <w:tc>
          <w:tcPr>
            <w:tcW w:w="1824" w:type="dxa"/>
            <w:vMerge w:val="continue"/>
            <w:shd w:val="clear" w:color="auto" w:fill="auto"/>
            <w:vAlign w:val="center"/>
          </w:tcPr>
          <w:p w14:paraId="5663B6C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p>
        </w:tc>
      </w:tr>
      <w:tr w14:paraId="0A7F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446AD8F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4</w:t>
            </w:r>
          </w:p>
        </w:tc>
        <w:tc>
          <w:tcPr>
            <w:tcW w:w="1632" w:type="dxa"/>
            <w:shd w:val="clear" w:color="auto" w:fill="auto"/>
            <w:vAlign w:val="center"/>
          </w:tcPr>
          <w:p w14:paraId="441E9DB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双相</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情感</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障碍</w:t>
            </w:r>
          </w:p>
        </w:tc>
        <w:tc>
          <w:tcPr>
            <w:tcW w:w="4236" w:type="dxa"/>
            <w:shd w:val="clear" w:color="auto" w:fill="auto"/>
            <w:vAlign w:val="center"/>
          </w:tcPr>
          <w:p w14:paraId="23CDB6E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1.提供门诊及住院医保服务</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（专科疾病防治机构可仅提供门诊服务）</w:t>
            </w:r>
          </w:p>
          <w:p w14:paraId="50DE5D4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精神病专科医疗机构或具有精神科诊疗科目的二级及以上非专科医疗机构或具有精神科诊疗科目的专科疾病防治机构</w:t>
            </w:r>
          </w:p>
        </w:tc>
        <w:tc>
          <w:tcPr>
            <w:tcW w:w="1824" w:type="dxa"/>
            <w:vMerge w:val="continue"/>
            <w:shd w:val="clear" w:color="auto" w:fill="auto"/>
            <w:vAlign w:val="center"/>
          </w:tcPr>
          <w:p w14:paraId="4A950AB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magenta"/>
                <w14:textFill>
                  <w14:solidFill>
                    <w14:schemeClr w14:val="tx1"/>
                  </w14:solidFill>
                </w14:textFill>
              </w:rPr>
            </w:pPr>
          </w:p>
        </w:tc>
      </w:tr>
      <w:tr w14:paraId="22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508D29F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5</w:t>
            </w:r>
          </w:p>
        </w:tc>
        <w:tc>
          <w:tcPr>
            <w:tcW w:w="1632" w:type="dxa"/>
            <w:shd w:val="clear" w:color="auto" w:fill="auto"/>
            <w:vAlign w:val="center"/>
          </w:tcPr>
          <w:p w14:paraId="43E8024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癫痫所致精神障碍</w:t>
            </w:r>
          </w:p>
        </w:tc>
        <w:tc>
          <w:tcPr>
            <w:tcW w:w="4236" w:type="dxa"/>
            <w:shd w:val="clear" w:color="auto" w:fill="auto"/>
            <w:vAlign w:val="center"/>
          </w:tcPr>
          <w:p w14:paraId="66391A7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1.提供门诊及住院医保服务</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（专科疾病防治机构可仅提供门诊服务）</w:t>
            </w:r>
          </w:p>
          <w:p w14:paraId="7363BFD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精神病专科医疗机构或具有精神科诊疗科目的二级及以上非专科医疗机构或具有精神科诊疗科目的专科疾病防治机构</w:t>
            </w:r>
          </w:p>
        </w:tc>
        <w:tc>
          <w:tcPr>
            <w:tcW w:w="1824" w:type="dxa"/>
            <w:vMerge w:val="continue"/>
            <w:shd w:val="clear" w:color="auto" w:fill="auto"/>
            <w:vAlign w:val="center"/>
          </w:tcPr>
          <w:p w14:paraId="277E7A4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magenta"/>
                <w14:textFill>
                  <w14:solidFill>
                    <w14:schemeClr w14:val="tx1"/>
                  </w14:solidFill>
                </w14:textFill>
              </w:rPr>
            </w:pPr>
          </w:p>
        </w:tc>
      </w:tr>
      <w:tr w14:paraId="6407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40B8590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36</w:t>
            </w:r>
          </w:p>
        </w:tc>
        <w:tc>
          <w:tcPr>
            <w:tcW w:w="1632" w:type="dxa"/>
            <w:shd w:val="clear" w:color="auto" w:fill="auto"/>
            <w:vAlign w:val="center"/>
          </w:tcPr>
          <w:p w14:paraId="5D2DB6E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精神发育迟滞伴发精神障碍</w:t>
            </w:r>
          </w:p>
        </w:tc>
        <w:tc>
          <w:tcPr>
            <w:tcW w:w="4236" w:type="dxa"/>
            <w:shd w:val="clear" w:color="auto" w:fill="auto"/>
            <w:vAlign w:val="center"/>
          </w:tcPr>
          <w:p w14:paraId="46D0AF2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1.提供门诊及住院医保服务</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（专科疾病防治机构可仅提供门诊服务）</w:t>
            </w:r>
          </w:p>
          <w:p w14:paraId="2004ABB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精神病专科医疗机构或具有精神科诊疗科目的二级及以上非专科医疗机构或具有精神科诊疗科目的专科疾病防治机构</w:t>
            </w:r>
          </w:p>
        </w:tc>
        <w:tc>
          <w:tcPr>
            <w:tcW w:w="1824" w:type="dxa"/>
            <w:vMerge w:val="continue"/>
            <w:shd w:val="clear" w:color="auto" w:fill="auto"/>
            <w:vAlign w:val="center"/>
          </w:tcPr>
          <w:p w14:paraId="7F8424C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eastAsia="宋体" w:cs="Times New Roman"/>
                <w:color w:val="000000" w:themeColor="text1"/>
                <w:kern w:val="0"/>
                <w:sz w:val="24"/>
                <w:szCs w:val="24"/>
                <w:highlight w:val="magenta"/>
                <w:lang w:val="en-US" w:eastAsia="zh-CN" w:bidi="ar"/>
                <w14:textFill>
                  <w14:solidFill>
                    <w14:schemeClr w14:val="tx1"/>
                  </w14:solidFill>
                </w14:textFill>
              </w:rPr>
            </w:pPr>
          </w:p>
        </w:tc>
      </w:tr>
      <w:tr w14:paraId="11CD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0B76B42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7</w:t>
            </w:r>
          </w:p>
        </w:tc>
        <w:tc>
          <w:tcPr>
            <w:tcW w:w="1632" w:type="dxa"/>
            <w:shd w:val="clear" w:color="auto" w:fill="auto"/>
            <w:vAlign w:val="center"/>
          </w:tcPr>
          <w:p w14:paraId="46136F4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再生障碍性贫血</w:t>
            </w:r>
          </w:p>
        </w:tc>
        <w:tc>
          <w:tcPr>
            <w:tcW w:w="4236" w:type="dxa"/>
            <w:shd w:val="clear" w:color="auto" w:fill="auto"/>
            <w:vAlign w:val="center"/>
          </w:tcPr>
          <w:p w14:paraId="405E98F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3BAB55E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19B2317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left"/>
              <w:rPr>
                <w:rFonts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3.具有血液内科或小儿血液病专业诊疗科目</w:t>
            </w:r>
          </w:p>
        </w:tc>
        <w:tc>
          <w:tcPr>
            <w:tcW w:w="1824" w:type="dxa"/>
            <w:vMerge w:val="restart"/>
            <w:shd w:val="clear" w:color="auto" w:fill="auto"/>
            <w:vAlign w:val="center"/>
          </w:tcPr>
          <w:p w14:paraId="27408A0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leftChars="0" w:right="0" w:rightChars="0" w:firstLine="0" w:firstLineChars="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具有内科、全科医疗科或中医科诊疗科目</w:t>
            </w:r>
          </w:p>
        </w:tc>
      </w:tr>
      <w:tr w14:paraId="1772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43ABA52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38</w:t>
            </w:r>
          </w:p>
        </w:tc>
        <w:tc>
          <w:tcPr>
            <w:tcW w:w="1632" w:type="dxa"/>
            <w:shd w:val="clear" w:color="auto" w:fill="auto"/>
            <w:vAlign w:val="center"/>
          </w:tcPr>
          <w:p w14:paraId="72571E6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骨髓纤维化</w:t>
            </w:r>
          </w:p>
        </w:tc>
        <w:tc>
          <w:tcPr>
            <w:tcW w:w="4236" w:type="dxa"/>
            <w:shd w:val="clear" w:color="auto" w:fill="auto"/>
            <w:vAlign w:val="center"/>
          </w:tcPr>
          <w:p w14:paraId="50B8659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5F65EF1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33B9AFB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3.具有血液内科或小儿血液病专业诊疗科目</w:t>
            </w:r>
          </w:p>
        </w:tc>
        <w:tc>
          <w:tcPr>
            <w:tcW w:w="1824" w:type="dxa"/>
            <w:vMerge w:val="continue"/>
            <w:shd w:val="clear" w:color="auto" w:fill="auto"/>
            <w:vAlign w:val="center"/>
          </w:tcPr>
          <w:p w14:paraId="783F6F3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46AB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7AF8557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39</w:t>
            </w:r>
          </w:p>
        </w:tc>
        <w:tc>
          <w:tcPr>
            <w:tcW w:w="1632" w:type="dxa"/>
            <w:shd w:val="clear" w:color="auto" w:fill="auto"/>
            <w:vAlign w:val="center"/>
          </w:tcPr>
          <w:p w14:paraId="1C3B0C4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骨髓增生异常综合症</w:t>
            </w:r>
          </w:p>
        </w:tc>
        <w:tc>
          <w:tcPr>
            <w:tcW w:w="4236" w:type="dxa"/>
            <w:shd w:val="clear" w:color="auto" w:fill="auto"/>
            <w:vAlign w:val="center"/>
          </w:tcPr>
          <w:p w14:paraId="48BAD41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00E0086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01B24C4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3.具有血液内科或小儿血液病专业诊疗科目</w:t>
            </w:r>
          </w:p>
        </w:tc>
        <w:tc>
          <w:tcPr>
            <w:tcW w:w="1824" w:type="dxa"/>
            <w:vMerge w:val="continue"/>
            <w:shd w:val="clear" w:color="auto" w:fill="auto"/>
            <w:vAlign w:val="center"/>
          </w:tcPr>
          <w:p w14:paraId="1058E94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51D8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6564A67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40</w:t>
            </w:r>
          </w:p>
        </w:tc>
        <w:tc>
          <w:tcPr>
            <w:tcW w:w="1632" w:type="dxa"/>
            <w:shd w:val="clear" w:color="auto" w:fill="auto"/>
            <w:vAlign w:val="center"/>
          </w:tcPr>
          <w:p w14:paraId="27CBCC7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肢端肥大症</w:t>
            </w:r>
          </w:p>
        </w:tc>
        <w:tc>
          <w:tcPr>
            <w:tcW w:w="4236" w:type="dxa"/>
            <w:shd w:val="clear" w:color="auto" w:fill="auto"/>
            <w:vAlign w:val="center"/>
          </w:tcPr>
          <w:p w14:paraId="4100A15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55B8DAD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2E3E524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3.具有内分泌科诊疗科目</w:t>
            </w:r>
          </w:p>
        </w:tc>
        <w:tc>
          <w:tcPr>
            <w:tcW w:w="1824" w:type="dxa"/>
            <w:vMerge w:val="continue"/>
            <w:shd w:val="clear" w:color="auto" w:fill="auto"/>
            <w:vAlign w:val="center"/>
          </w:tcPr>
          <w:p w14:paraId="2FCFE90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p>
        </w:tc>
      </w:tr>
      <w:tr w14:paraId="7269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5986A02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41</w:t>
            </w:r>
          </w:p>
        </w:tc>
        <w:tc>
          <w:tcPr>
            <w:tcW w:w="1632" w:type="dxa"/>
            <w:shd w:val="clear" w:color="auto" w:fill="auto"/>
            <w:vAlign w:val="center"/>
          </w:tcPr>
          <w:p w14:paraId="703FD10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多发性硬化</w:t>
            </w:r>
          </w:p>
        </w:tc>
        <w:tc>
          <w:tcPr>
            <w:tcW w:w="4236" w:type="dxa"/>
            <w:shd w:val="clear" w:color="auto" w:fill="auto"/>
            <w:vAlign w:val="center"/>
          </w:tcPr>
          <w:p w14:paraId="1FFF6B7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6B01813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2.医疗机构级别为二级及以上</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或在优质服务基层行活动中达到国家推荐标准的基层医疗机构</w:t>
            </w:r>
          </w:p>
          <w:p w14:paraId="5E6BA34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3.具有神经内科诊疗科目</w:t>
            </w:r>
          </w:p>
        </w:tc>
        <w:tc>
          <w:tcPr>
            <w:tcW w:w="1824" w:type="dxa"/>
            <w:shd w:val="clear" w:color="auto" w:fill="auto"/>
            <w:vAlign w:val="center"/>
          </w:tcPr>
          <w:p w14:paraId="2A40B16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具有内科、全科医疗科或儿科诊疗科目</w:t>
            </w:r>
          </w:p>
        </w:tc>
      </w:tr>
      <w:tr w14:paraId="5FFA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508DC2E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42</w:t>
            </w:r>
          </w:p>
        </w:tc>
        <w:tc>
          <w:tcPr>
            <w:tcW w:w="1632" w:type="dxa"/>
            <w:shd w:val="clear" w:color="auto" w:fill="auto"/>
            <w:vAlign w:val="center"/>
          </w:tcPr>
          <w:p w14:paraId="4BF7C02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湿性年龄相关性黄斑变性</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AMD</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65A3478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1EE38C4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2.具有眼科诊疗科目的三级综合医疗机构或二级以上眼科专科医疗机构</w:t>
            </w:r>
          </w:p>
        </w:tc>
        <w:tc>
          <w:tcPr>
            <w:tcW w:w="1824" w:type="dxa"/>
            <w:shd w:val="clear" w:color="auto" w:fill="auto"/>
            <w:vAlign w:val="center"/>
          </w:tcPr>
          <w:p w14:paraId="45440C4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1E12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160A862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43</w:t>
            </w:r>
          </w:p>
        </w:tc>
        <w:tc>
          <w:tcPr>
            <w:tcW w:w="1632" w:type="dxa"/>
            <w:shd w:val="clear" w:color="auto" w:fill="auto"/>
            <w:vAlign w:val="center"/>
          </w:tcPr>
          <w:p w14:paraId="6921A28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糖尿病黄斑水肿</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DME</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1AD63B5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436888B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2.具有眼科诊疗科目的三级综合医疗机构或二级以上眼科专科医疗机构</w:t>
            </w:r>
          </w:p>
        </w:tc>
        <w:tc>
          <w:tcPr>
            <w:tcW w:w="1824" w:type="dxa"/>
            <w:shd w:val="clear" w:color="auto" w:fill="auto"/>
            <w:vAlign w:val="center"/>
          </w:tcPr>
          <w:p w14:paraId="5DB7E46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3514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4726988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44</w:t>
            </w:r>
          </w:p>
        </w:tc>
        <w:tc>
          <w:tcPr>
            <w:tcW w:w="1632" w:type="dxa"/>
            <w:shd w:val="clear" w:color="auto" w:fill="auto"/>
            <w:vAlign w:val="center"/>
          </w:tcPr>
          <w:p w14:paraId="4F9D6D0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脉络膜新生血管</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CNV</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530CCCB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7A0D429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2.具有眼科诊疗科目的三级综合医疗机构或二级以上眼科专科医疗机构</w:t>
            </w:r>
          </w:p>
        </w:tc>
        <w:tc>
          <w:tcPr>
            <w:tcW w:w="1824" w:type="dxa"/>
            <w:shd w:val="clear" w:color="auto" w:fill="auto"/>
            <w:vAlign w:val="center"/>
          </w:tcPr>
          <w:p w14:paraId="7451C319">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0FFE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389B45F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45</w:t>
            </w:r>
          </w:p>
        </w:tc>
        <w:tc>
          <w:tcPr>
            <w:tcW w:w="1632" w:type="dxa"/>
            <w:shd w:val="clear" w:color="auto" w:fill="auto"/>
            <w:vAlign w:val="center"/>
          </w:tcPr>
          <w:p w14:paraId="06189BE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视网膜静脉阻塞所致黄斑水肿</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RVO-ME</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3770F8D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273EB4E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2.具有眼科诊疗科目的三级综合医疗机构或二级以上眼科专科医疗机构</w:t>
            </w:r>
          </w:p>
        </w:tc>
        <w:tc>
          <w:tcPr>
            <w:tcW w:w="1824" w:type="dxa"/>
            <w:shd w:val="clear" w:color="auto" w:fill="auto"/>
            <w:vAlign w:val="center"/>
          </w:tcPr>
          <w:p w14:paraId="5B26C2D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5C53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6830CF8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46</w:t>
            </w:r>
          </w:p>
        </w:tc>
        <w:tc>
          <w:tcPr>
            <w:tcW w:w="1632" w:type="dxa"/>
            <w:shd w:val="clear" w:color="auto" w:fill="auto"/>
            <w:vAlign w:val="center"/>
          </w:tcPr>
          <w:p w14:paraId="5271F52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慢性肾功能不全</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血透治疗</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tc>
        <w:tc>
          <w:tcPr>
            <w:tcW w:w="4236" w:type="dxa"/>
            <w:shd w:val="clear" w:color="auto" w:fill="auto"/>
            <w:vAlign w:val="center"/>
          </w:tcPr>
          <w:p w14:paraId="127AA46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.具有肾病学专业</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血液透析技术</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5872A67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2.具备相关专业副主任及以上医师且主要执业机构为该医疗机构</w:t>
            </w:r>
          </w:p>
        </w:tc>
        <w:tc>
          <w:tcPr>
            <w:tcW w:w="1824" w:type="dxa"/>
            <w:vMerge w:val="restart"/>
            <w:shd w:val="clear" w:color="auto" w:fill="auto"/>
            <w:vAlign w:val="center"/>
          </w:tcPr>
          <w:p w14:paraId="62239A17">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cyan"/>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具有肾病学专业</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血液透析技术</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tc>
      </w:tr>
      <w:tr w14:paraId="2F93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0E0000B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47</w:t>
            </w:r>
          </w:p>
        </w:tc>
        <w:tc>
          <w:tcPr>
            <w:tcW w:w="1632" w:type="dxa"/>
            <w:shd w:val="clear" w:color="auto" w:fill="auto"/>
            <w:vAlign w:val="center"/>
          </w:tcPr>
          <w:p w14:paraId="719751D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none"/>
                <w14:textFill>
                  <w14:solidFill>
                    <w14:schemeClr w14:val="tx1"/>
                  </w14:solidFill>
                </w14:textFill>
              </w:rPr>
            </w:pP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慢性肾功能不全</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腹透治疗</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tc>
        <w:tc>
          <w:tcPr>
            <w:tcW w:w="4236" w:type="dxa"/>
            <w:shd w:val="clear" w:color="auto" w:fill="auto"/>
            <w:vAlign w:val="center"/>
          </w:tcPr>
          <w:p w14:paraId="47CB50D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.具有肾病学专业</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血液透析技术</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57CFEA0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2.具备相关专业副主任及以上医师且主要执业机构为该医疗机构</w:t>
            </w:r>
          </w:p>
        </w:tc>
        <w:tc>
          <w:tcPr>
            <w:tcW w:w="1824" w:type="dxa"/>
            <w:vMerge w:val="continue"/>
            <w:shd w:val="clear" w:color="auto" w:fill="auto"/>
            <w:vAlign w:val="center"/>
          </w:tcPr>
          <w:p w14:paraId="1C6BC82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highlight w:val="magenta"/>
                <w14:textFill>
                  <w14:solidFill>
                    <w14:schemeClr w14:val="tx1"/>
                  </w14:solidFill>
                </w14:textFill>
              </w:rPr>
            </w:pPr>
          </w:p>
        </w:tc>
      </w:tr>
      <w:tr w14:paraId="48B0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166190C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48</w:t>
            </w:r>
          </w:p>
        </w:tc>
        <w:tc>
          <w:tcPr>
            <w:tcW w:w="1632" w:type="dxa"/>
            <w:shd w:val="clear" w:color="auto" w:fill="auto"/>
            <w:vAlign w:val="center"/>
          </w:tcPr>
          <w:p w14:paraId="79C3ECA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恶性肿瘤</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化疗，含生物靶向药物、内分泌治疗</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6C2F8E5E">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5F29854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2.医疗机构级别为三级</w:t>
            </w:r>
          </w:p>
          <w:p w14:paraId="55E1054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3.具有肿瘤科诊疗科目</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妇女儿童类恶性肿瘤可由相关专科医院确认和治疗</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1824" w:type="dxa"/>
            <w:shd w:val="clear" w:color="auto" w:fill="auto"/>
            <w:vAlign w:val="center"/>
          </w:tcPr>
          <w:p w14:paraId="4EA5409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4488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563CCFF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49</w:t>
            </w:r>
          </w:p>
        </w:tc>
        <w:tc>
          <w:tcPr>
            <w:tcW w:w="1632" w:type="dxa"/>
            <w:shd w:val="clear" w:color="auto" w:fill="auto"/>
            <w:vAlign w:val="center"/>
          </w:tcPr>
          <w:p w14:paraId="6A32793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恶性肿瘤</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放疗</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c>
          <w:tcPr>
            <w:tcW w:w="4236" w:type="dxa"/>
            <w:shd w:val="clear" w:color="auto" w:fill="auto"/>
            <w:vAlign w:val="center"/>
          </w:tcPr>
          <w:p w14:paraId="10D6F03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24C4BD0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2.医疗机构级别为三级</w:t>
            </w:r>
          </w:p>
          <w:p w14:paraId="750D77A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3.具有放射治疗诊疗科目</w:t>
            </w:r>
          </w:p>
        </w:tc>
        <w:tc>
          <w:tcPr>
            <w:tcW w:w="1824" w:type="dxa"/>
            <w:shd w:val="clear" w:color="auto" w:fill="auto"/>
            <w:vAlign w:val="center"/>
          </w:tcPr>
          <w:p w14:paraId="130ADFD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5470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34466223">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50</w:t>
            </w:r>
          </w:p>
        </w:tc>
        <w:tc>
          <w:tcPr>
            <w:tcW w:w="1632" w:type="dxa"/>
            <w:shd w:val="clear" w:color="auto" w:fill="auto"/>
            <w:vAlign w:val="center"/>
          </w:tcPr>
          <w:p w14:paraId="734C255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心脏移植术后抗排异治疗</w:t>
            </w:r>
          </w:p>
        </w:tc>
        <w:tc>
          <w:tcPr>
            <w:tcW w:w="4236" w:type="dxa"/>
            <w:shd w:val="clear" w:color="auto" w:fill="auto"/>
            <w:vAlign w:val="center"/>
          </w:tcPr>
          <w:p w14:paraId="5F3F090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2991E8F4">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2.医疗机构级别为三级</w:t>
            </w:r>
          </w:p>
          <w:p w14:paraId="5B29F82B">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3.具有内科或外科诊疗科目</w:t>
            </w:r>
          </w:p>
        </w:tc>
        <w:tc>
          <w:tcPr>
            <w:tcW w:w="1824" w:type="dxa"/>
            <w:shd w:val="clear" w:color="auto" w:fill="auto"/>
            <w:vAlign w:val="center"/>
          </w:tcPr>
          <w:p w14:paraId="37E53E8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048D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076B178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51</w:t>
            </w:r>
          </w:p>
        </w:tc>
        <w:tc>
          <w:tcPr>
            <w:tcW w:w="1632" w:type="dxa"/>
            <w:shd w:val="clear" w:color="auto" w:fill="auto"/>
            <w:vAlign w:val="center"/>
          </w:tcPr>
          <w:p w14:paraId="5AD612D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肝脏移植术后抗排异治疗</w:t>
            </w:r>
          </w:p>
        </w:tc>
        <w:tc>
          <w:tcPr>
            <w:tcW w:w="4236" w:type="dxa"/>
            <w:shd w:val="clear" w:color="auto" w:fill="auto"/>
            <w:vAlign w:val="center"/>
          </w:tcPr>
          <w:p w14:paraId="2A8446F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2969714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2.医疗机构级别为三级</w:t>
            </w:r>
          </w:p>
          <w:p w14:paraId="43D90A52">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3.具有内科或外科诊疗科目</w:t>
            </w:r>
          </w:p>
        </w:tc>
        <w:tc>
          <w:tcPr>
            <w:tcW w:w="1824" w:type="dxa"/>
            <w:shd w:val="clear" w:color="auto" w:fill="auto"/>
            <w:vAlign w:val="center"/>
          </w:tcPr>
          <w:p w14:paraId="54690BF5">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5F56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816" w:type="dxa"/>
            <w:shd w:val="clear" w:color="auto" w:fill="auto"/>
            <w:vAlign w:val="center"/>
          </w:tcPr>
          <w:p w14:paraId="70ACE611">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52</w:t>
            </w:r>
          </w:p>
        </w:tc>
        <w:tc>
          <w:tcPr>
            <w:tcW w:w="1632" w:type="dxa"/>
            <w:shd w:val="clear" w:color="auto" w:fill="auto"/>
            <w:vAlign w:val="center"/>
          </w:tcPr>
          <w:p w14:paraId="76AE673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肺脏移植术后抗排异治疗</w:t>
            </w:r>
          </w:p>
        </w:tc>
        <w:tc>
          <w:tcPr>
            <w:tcW w:w="4236" w:type="dxa"/>
            <w:shd w:val="clear" w:color="auto" w:fill="auto"/>
            <w:vAlign w:val="center"/>
          </w:tcPr>
          <w:p w14:paraId="2433D826">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1.提供门诊及住院医保服务</w:t>
            </w:r>
          </w:p>
          <w:p w14:paraId="05E1BEFA">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2.医疗机构级别为三级</w:t>
            </w:r>
          </w:p>
          <w:p w14:paraId="61AEE72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3.具有内科或外科诊疗科目</w:t>
            </w:r>
          </w:p>
        </w:tc>
        <w:tc>
          <w:tcPr>
            <w:tcW w:w="1824" w:type="dxa"/>
            <w:shd w:val="clear" w:color="auto" w:fill="auto"/>
            <w:vAlign w:val="center"/>
          </w:tcPr>
          <w:p w14:paraId="510456F8">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w:t>
            </w:r>
          </w:p>
        </w:tc>
      </w:tr>
      <w:tr w14:paraId="1712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48" w:hRule="atLeast"/>
          <w:jc w:val="center"/>
        </w:trPr>
        <w:tc>
          <w:tcPr>
            <w:tcW w:w="816" w:type="dxa"/>
            <w:shd w:val="clear" w:color="auto" w:fill="auto"/>
            <w:vAlign w:val="center"/>
          </w:tcPr>
          <w:p w14:paraId="0C980A7D">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53</w:t>
            </w:r>
          </w:p>
        </w:tc>
        <w:tc>
          <w:tcPr>
            <w:tcW w:w="1632" w:type="dxa"/>
            <w:shd w:val="clear" w:color="auto" w:fill="auto"/>
            <w:vAlign w:val="center"/>
          </w:tcPr>
          <w:p w14:paraId="066F171F">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新冠肺炎出院患者门诊康复治疗</w:t>
            </w:r>
          </w:p>
        </w:tc>
        <w:tc>
          <w:tcPr>
            <w:tcW w:w="4236" w:type="dxa"/>
            <w:shd w:val="clear" w:color="auto" w:fill="auto"/>
            <w:vAlign w:val="center"/>
          </w:tcPr>
          <w:p w14:paraId="100B581C">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left"/>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u w:val="none"/>
                <w:lang w:val="en-US" w:eastAsia="zh-CN" w:bidi="ar"/>
                <w14:textFill>
                  <w14:solidFill>
                    <w14:schemeClr w14:val="tx1"/>
                  </w14:solidFill>
                </w14:textFill>
              </w:rPr>
              <w:t>新冠肺炎康复定点医院</w:t>
            </w:r>
          </w:p>
        </w:tc>
        <w:tc>
          <w:tcPr>
            <w:tcW w:w="1824" w:type="dxa"/>
            <w:shd w:val="clear" w:color="auto" w:fill="auto"/>
            <w:vAlign w:val="center"/>
          </w:tcPr>
          <w:p w14:paraId="7D8BAD60">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snapToGrid/>
              <w:spacing w:before="0" w:beforeAutospacing="0" w:after="0" w:afterAutospacing="0"/>
              <w:ind w:left="0" w:right="0" w:firstLine="0"/>
              <w:jc w:val="center"/>
              <w:rPr>
                <w:rFonts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新冠肺炎康复定点医院</w:t>
            </w:r>
          </w:p>
        </w:tc>
      </w:tr>
    </w:tbl>
    <w:p w14:paraId="21F5EE7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color w:val="000000" w:themeColor="text1"/>
          <w:sz w:val="32"/>
          <w:szCs w:val="32"/>
          <w:lang w:val="en-US" w:eastAsia="zh-CN"/>
          <w14:textFill>
            <w14:solidFill>
              <w14:schemeClr w14:val="tx1"/>
            </w14:solidFill>
          </w14:textFill>
        </w:rPr>
      </w:pPr>
    </w:p>
    <w:p w14:paraId="20090B6F">
      <w:pPr>
        <w:keepNext w:val="0"/>
        <w:keepLines w:val="0"/>
        <w:pageBreakBefore w:val="0"/>
        <w:widowControl w:val="0"/>
        <w:kinsoku/>
        <w:wordWrap/>
        <w:overflowPunct/>
        <w:topLinePunct w:val="0"/>
        <w:bidi w:val="0"/>
        <w:snapToGrid/>
        <w:spacing w:line="580" w:lineRule="exact"/>
        <w:ind w:firstLine="320" w:firstLineChars="100"/>
        <w:textAlignment w:val="auto"/>
        <w:rPr>
          <w:rFonts w:hint="default" w:ascii="Times New Roman" w:hAnsi="黑体" w:eastAsia="黑体" w:cs="Times New Roman"/>
          <w:kern w:val="32"/>
          <w:sz w:val="32"/>
          <w:szCs w:val="32"/>
          <w:lang w:val="en-US" w:eastAsia="zh-CN"/>
        </w:rPr>
      </w:pPr>
      <w:bookmarkStart w:id="0" w:name="_GoBack"/>
      <w:bookmarkEnd w:id="0"/>
    </w:p>
    <w:sectPr>
      <w:headerReference r:id="rId7" w:type="default"/>
      <w:footerReference r:id="rId9" w:type="default"/>
      <w:headerReference r:id="rId8" w:type="even"/>
      <w:footerReference r:id="rId10" w:type="even"/>
      <w:pgSz w:w="11906" w:h="16838"/>
      <w:pgMar w:top="2041" w:right="1531" w:bottom="2041" w:left="1531" w:header="851" w:footer="992" w:gutter="0"/>
      <w:pgNumType w:fmt="numberInDash"/>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77C93">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A6018">
                          <w:pPr>
                            <w:pStyle w:val="9"/>
                            <w:rPr>
                              <w:rFonts w:hint="eastAsia" w:eastAsia="仿宋_GB2312"/>
                              <w:lang w:eastAsia="zh-CN"/>
                            </w:rPr>
                          </w:pPr>
                          <w:r>
                            <w:rPr>
                              <w:rFonts w:hint="eastAsia" w:eastAsia="仿宋_GB2312" w:asciiTheme="minorEastAsia" w:hAnsiTheme="minorEastAsia" w:cstheme="minorEastAsia"/>
                              <w:sz w:val="28"/>
                              <w:szCs w:val="28"/>
                              <w:lang w:eastAsia="zh-CN"/>
                            </w:rPr>
                            <w:fldChar w:fldCharType="begin"/>
                          </w:r>
                          <w:r>
                            <w:rPr>
                              <w:rFonts w:hint="eastAsia" w:eastAsia="仿宋_GB2312" w:asciiTheme="minorEastAsia" w:hAnsiTheme="minorEastAsia" w:cstheme="minorEastAsia"/>
                              <w:sz w:val="28"/>
                              <w:szCs w:val="28"/>
                              <w:lang w:eastAsia="zh-CN"/>
                            </w:rPr>
                            <w:instrText xml:space="preserve"> PAGE  \* MERGEFORMAT </w:instrText>
                          </w:r>
                          <w:r>
                            <w:rPr>
                              <w:rFonts w:hint="eastAsia" w:eastAsia="仿宋_GB2312" w:asciiTheme="minorEastAsia" w:hAnsiTheme="minorEastAsia" w:cstheme="minorEastAsia"/>
                              <w:sz w:val="28"/>
                              <w:szCs w:val="28"/>
                              <w:lang w:eastAsia="zh-CN"/>
                            </w:rPr>
                            <w:fldChar w:fldCharType="separate"/>
                          </w:r>
                          <w:r>
                            <w:rPr>
                              <w:rFonts w:hint="eastAsia" w:eastAsia="仿宋_GB2312" w:asciiTheme="minorEastAsia" w:hAnsiTheme="minorEastAsia" w:cstheme="minorEastAsia"/>
                              <w:sz w:val="28"/>
                              <w:szCs w:val="28"/>
                              <w:lang w:eastAsia="zh-CN"/>
                            </w:rPr>
                            <w:t>- 1 -</w:t>
                          </w:r>
                          <w:r>
                            <w:rPr>
                              <w:rFonts w:hint="eastAsia" w:eastAsia="仿宋_GB2312" w:asciiTheme="minorEastAsia" w:hAnsi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3EA6018">
                    <w:pPr>
                      <w:pStyle w:val="9"/>
                      <w:rPr>
                        <w:rFonts w:hint="eastAsia" w:eastAsia="仿宋_GB2312"/>
                        <w:lang w:eastAsia="zh-CN"/>
                      </w:rPr>
                    </w:pPr>
                    <w:r>
                      <w:rPr>
                        <w:rFonts w:hint="eastAsia" w:eastAsia="仿宋_GB2312" w:asciiTheme="minorEastAsia" w:hAnsiTheme="minorEastAsia" w:cstheme="minorEastAsia"/>
                        <w:sz w:val="28"/>
                        <w:szCs w:val="28"/>
                        <w:lang w:eastAsia="zh-CN"/>
                      </w:rPr>
                      <w:fldChar w:fldCharType="begin"/>
                    </w:r>
                    <w:r>
                      <w:rPr>
                        <w:rFonts w:hint="eastAsia" w:eastAsia="仿宋_GB2312" w:asciiTheme="minorEastAsia" w:hAnsiTheme="minorEastAsia" w:cstheme="minorEastAsia"/>
                        <w:sz w:val="28"/>
                        <w:szCs w:val="28"/>
                        <w:lang w:eastAsia="zh-CN"/>
                      </w:rPr>
                      <w:instrText xml:space="preserve"> PAGE  \* MERGEFORMAT </w:instrText>
                    </w:r>
                    <w:r>
                      <w:rPr>
                        <w:rFonts w:hint="eastAsia" w:eastAsia="仿宋_GB2312" w:asciiTheme="minorEastAsia" w:hAnsiTheme="minorEastAsia" w:cstheme="minorEastAsia"/>
                        <w:sz w:val="28"/>
                        <w:szCs w:val="28"/>
                        <w:lang w:eastAsia="zh-CN"/>
                      </w:rPr>
                      <w:fldChar w:fldCharType="separate"/>
                    </w:r>
                    <w:r>
                      <w:rPr>
                        <w:rFonts w:hint="eastAsia" w:eastAsia="仿宋_GB2312" w:asciiTheme="minorEastAsia" w:hAnsiTheme="minorEastAsia" w:cstheme="minorEastAsia"/>
                        <w:sz w:val="28"/>
                        <w:szCs w:val="28"/>
                        <w:lang w:eastAsia="zh-CN"/>
                      </w:rPr>
                      <w:t>- 1 -</w:t>
                    </w:r>
                    <w:r>
                      <w:rPr>
                        <w:rFonts w:hint="eastAsia" w:eastAsia="仿宋_GB2312" w:asciiTheme="minorEastAsia" w:hAnsiTheme="minorEastAsia" w:cstheme="minor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8DC84">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EB8DC84">
                    <w:pPr>
                      <w:pStyle w:val="9"/>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F0864">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FA0A46">
                          <w:pPr>
                            <w:pStyle w:val="9"/>
                            <w:rPr>
                              <w:rFonts w:hint="eastAsia" w:eastAsia="仿宋_GB2312"/>
                              <w:lang w:eastAsia="zh-CN"/>
                            </w:rPr>
                          </w:pPr>
                          <w:r>
                            <w:rPr>
                              <w:rFonts w:hint="eastAsia" w:eastAsia="仿宋_GB2312" w:asciiTheme="minorEastAsia" w:hAnsiTheme="minorEastAsia" w:cstheme="minorEastAsia"/>
                              <w:sz w:val="28"/>
                              <w:szCs w:val="28"/>
                              <w:lang w:eastAsia="zh-CN"/>
                            </w:rPr>
                            <w:fldChar w:fldCharType="begin"/>
                          </w:r>
                          <w:r>
                            <w:rPr>
                              <w:rFonts w:hint="eastAsia" w:eastAsia="仿宋_GB2312" w:asciiTheme="minorEastAsia" w:hAnsiTheme="minorEastAsia" w:cstheme="minorEastAsia"/>
                              <w:sz w:val="28"/>
                              <w:szCs w:val="28"/>
                              <w:lang w:eastAsia="zh-CN"/>
                            </w:rPr>
                            <w:instrText xml:space="preserve"> PAGE  \* MERGEFORMAT </w:instrText>
                          </w:r>
                          <w:r>
                            <w:rPr>
                              <w:rFonts w:hint="eastAsia" w:eastAsia="仿宋_GB2312" w:asciiTheme="minorEastAsia" w:hAnsiTheme="minorEastAsia" w:cstheme="minorEastAsia"/>
                              <w:sz w:val="28"/>
                              <w:szCs w:val="28"/>
                              <w:lang w:eastAsia="zh-CN"/>
                            </w:rPr>
                            <w:fldChar w:fldCharType="separate"/>
                          </w:r>
                          <w:r>
                            <w:rPr>
                              <w:rFonts w:hint="eastAsia" w:eastAsia="仿宋_GB2312" w:asciiTheme="minorEastAsia" w:hAnsiTheme="minorEastAsia" w:cstheme="minorEastAsia"/>
                              <w:sz w:val="28"/>
                              <w:szCs w:val="28"/>
                              <w:lang w:eastAsia="zh-CN"/>
                            </w:rPr>
                            <w:t>- 1 -</w:t>
                          </w:r>
                          <w:r>
                            <w:rPr>
                              <w:rFonts w:hint="eastAsia" w:eastAsia="仿宋_GB2312" w:asciiTheme="minorEastAsia" w:hAnsi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DFA0A46">
                    <w:pPr>
                      <w:pStyle w:val="9"/>
                      <w:rPr>
                        <w:rFonts w:hint="eastAsia" w:eastAsia="仿宋_GB2312"/>
                        <w:lang w:eastAsia="zh-CN"/>
                      </w:rPr>
                    </w:pPr>
                    <w:r>
                      <w:rPr>
                        <w:rFonts w:hint="eastAsia" w:eastAsia="仿宋_GB2312" w:asciiTheme="minorEastAsia" w:hAnsiTheme="minorEastAsia" w:cstheme="minorEastAsia"/>
                        <w:sz w:val="28"/>
                        <w:szCs w:val="28"/>
                        <w:lang w:eastAsia="zh-CN"/>
                      </w:rPr>
                      <w:fldChar w:fldCharType="begin"/>
                    </w:r>
                    <w:r>
                      <w:rPr>
                        <w:rFonts w:hint="eastAsia" w:eastAsia="仿宋_GB2312" w:asciiTheme="minorEastAsia" w:hAnsiTheme="minorEastAsia" w:cstheme="minorEastAsia"/>
                        <w:sz w:val="28"/>
                        <w:szCs w:val="28"/>
                        <w:lang w:eastAsia="zh-CN"/>
                      </w:rPr>
                      <w:instrText xml:space="preserve"> PAGE  \* MERGEFORMAT </w:instrText>
                    </w:r>
                    <w:r>
                      <w:rPr>
                        <w:rFonts w:hint="eastAsia" w:eastAsia="仿宋_GB2312" w:asciiTheme="minorEastAsia" w:hAnsiTheme="minorEastAsia" w:cstheme="minorEastAsia"/>
                        <w:sz w:val="28"/>
                        <w:szCs w:val="28"/>
                        <w:lang w:eastAsia="zh-CN"/>
                      </w:rPr>
                      <w:fldChar w:fldCharType="separate"/>
                    </w:r>
                    <w:r>
                      <w:rPr>
                        <w:rFonts w:hint="eastAsia" w:eastAsia="仿宋_GB2312" w:asciiTheme="minorEastAsia" w:hAnsiTheme="minorEastAsia" w:cstheme="minorEastAsia"/>
                        <w:sz w:val="28"/>
                        <w:szCs w:val="28"/>
                        <w:lang w:eastAsia="zh-CN"/>
                      </w:rPr>
                      <w:t>- 1 -</w:t>
                    </w:r>
                    <w:r>
                      <w:rPr>
                        <w:rFonts w:hint="eastAsia" w:eastAsia="仿宋_GB2312" w:asciiTheme="minorEastAsia" w:hAnsiTheme="minorEastAsia" w:cstheme="minor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7FC80">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6D7FC80">
                    <w:pPr>
                      <w:pStyle w:val="9"/>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D5E21">
    <w:pPr>
      <w:pStyle w:val="9"/>
      <w:jc w:val="left"/>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F08AB">
                          <w:pPr>
                            <w:pStyle w:val="9"/>
                            <w:rPr>
                              <w:rFonts w:hint="eastAsia" w:eastAsia="仿宋_GB2312"/>
                              <w:lang w:eastAsia="zh-CN"/>
                            </w:rPr>
                          </w:pPr>
                          <w:r>
                            <w:rPr>
                              <w:rFonts w:hint="eastAsia" w:eastAsia="仿宋_GB2312" w:asciiTheme="minorEastAsia" w:hAnsiTheme="minorEastAsia" w:cstheme="minorEastAsia"/>
                              <w:sz w:val="28"/>
                              <w:szCs w:val="28"/>
                              <w:lang w:eastAsia="zh-CN"/>
                            </w:rPr>
                            <w:fldChar w:fldCharType="begin"/>
                          </w:r>
                          <w:r>
                            <w:rPr>
                              <w:rFonts w:hint="eastAsia" w:eastAsia="仿宋_GB2312" w:asciiTheme="minorEastAsia" w:hAnsiTheme="minorEastAsia" w:cstheme="minorEastAsia"/>
                              <w:sz w:val="28"/>
                              <w:szCs w:val="28"/>
                              <w:lang w:eastAsia="zh-CN"/>
                            </w:rPr>
                            <w:instrText xml:space="preserve"> PAGE  \* MERGEFORMAT </w:instrText>
                          </w:r>
                          <w:r>
                            <w:rPr>
                              <w:rFonts w:hint="eastAsia" w:eastAsia="仿宋_GB2312" w:asciiTheme="minorEastAsia" w:hAnsiTheme="minorEastAsia" w:cstheme="minorEastAsia"/>
                              <w:sz w:val="28"/>
                              <w:szCs w:val="28"/>
                              <w:lang w:eastAsia="zh-CN"/>
                            </w:rPr>
                            <w:fldChar w:fldCharType="separate"/>
                          </w:r>
                          <w:r>
                            <w:rPr>
                              <w:rFonts w:hint="eastAsia" w:eastAsia="仿宋_GB2312" w:asciiTheme="minorEastAsia" w:hAnsiTheme="minorEastAsia" w:cstheme="minorEastAsia"/>
                              <w:sz w:val="28"/>
                              <w:szCs w:val="28"/>
                              <w:lang w:eastAsia="zh-CN"/>
                            </w:rPr>
                            <w:t>- 3 -</w:t>
                          </w:r>
                          <w:r>
                            <w:rPr>
                              <w:rFonts w:hint="eastAsia" w:eastAsia="仿宋_GB2312" w:asciiTheme="minorEastAsia" w:hAnsi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B3F08AB">
                    <w:pPr>
                      <w:pStyle w:val="9"/>
                      <w:rPr>
                        <w:rFonts w:hint="eastAsia" w:eastAsia="仿宋_GB2312"/>
                        <w:lang w:eastAsia="zh-CN"/>
                      </w:rPr>
                    </w:pPr>
                    <w:r>
                      <w:rPr>
                        <w:rFonts w:hint="eastAsia" w:eastAsia="仿宋_GB2312" w:asciiTheme="minorEastAsia" w:hAnsiTheme="minorEastAsia" w:cstheme="minorEastAsia"/>
                        <w:sz w:val="28"/>
                        <w:szCs w:val="28"/>
                        <w:lang w:eastAsia="zh-CN"/>
                      </w:rPr>
                      <w:fldChar w:fldCharType="begin"/>
                    </w:r>
                    <w:r>
                      <w:rPr>
                        <w:rFonts w:hint="eastAsia" w:eastAsia="仿宋_GB2312" w:asciiTheme="minorEastAsia" w:hAnsiTheme="minorEastAsia" w:cstheme="minorEastAsia"/>
                        <w:sz w:val="28"/>
                        <w:szCs w:val="28"/>
                        <w:lang w:eastAsia="zh-CN"/>
                      </w:rPr>
                      <w:instrText xml:space="preserve"> PAGE  \* MERGEFORMAT </w:instrText>
                    </w:r>
                    <w:r>
                      <w:rPr>
                        <w:rFonts w:hint="eastAsia" w:eastAsia="仿宋_GB2312" w:asciiTheme="minorEastAsia" w:hAnsiTheme="minorEastAsia" w:cstheme="minorEastAsia"/>
                        <w:sz w:val="28"/>
                        <w:szCs w:val="28"/>
                        <w:lang w:eastAsia="zh-CN"/>
                      </w:rPr>
                      <w:fldChar w:fldCharType="separate"/>
                    </w:r>
                    <w:r>
                      <w:rPr>
                        <w:rFonts w:hint="eastAsia" w:eastAsia="仿宋_GB2312" w:asciiTheme="minorEastAsia" w:hAnsiTheme="minorEastAsia" w:cstheme="minorEastAsia"/>
                        <w:sz w:val="28"/>
                        <w:szCs w:val="28"/>
                        <w:lang w:eastAsia="zh-CN"/>
                      </w:rPr>
                      <w:t>- 3 -</w:t>
                    </w:r>
                    <w:r>
                      <w:rPr>
                        <w:rFonts w:hint="eastAsia" w:eastAsia="仿宋_GB2312" w:asciiTheme="minorEastAsia" w:hAnsiTheme="minorEastAsia" w:cstheme="minorEastAsia"/>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EED22">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C0087">
                          <w:pPr>
                            <w:pStyle w:val="9"/>
                            <w:rPr>
                              <w:rFonts w:hint="eastAsia" w:eastAsia="仿宋_GB2312"/>
                              <w:lang w:eastAsia="zh-CN"/>
                            </w:rPr>
                          </w:pPr>
                          <w:r>
                            <w:rPr>
                              <w:rFonts w:hint="eastAsia" w:eastAsia="仿宋_GB2312" w:asciiTheme="majorEastAsia" w:hAnsiTheme="majorEastAsia" w:cstheme="majorEastAsia"/>
                              <w:sz w:val="28"/>
                              <w:szCs w:val="28"/>
                              <w:lang w:eastAsia="zh-CN"/>
                            </w:rPr>
                            <w:fldChar w:fldCharType="begin"/>
                          </w:r>
                          <w:r>
                            <w:rPr>
                              <w:rFonts w:hint="eastAsia" w:eastAsia="仿宋_GB2312" w:asciiTheme="majorEastAsia" w:hAnsiTheme="majorEastAsia" w:cstheme="majorEastAsia"/>
                              <w:sz w:val="28"/>
                              <w:szCs w:val="28"/>
                              <w:lang w:eastAsia="zh-CN"/>
                            </w:rPr>
                            <w:instrText xml:space="preserve"> PAGE  \* MERGEFORMAT </w:instrText>
                          </w:r>
                          <w:r>
                            <w:rPr>
                              <w:rFonts w:hint="eastAsia" w:eastAsia="仿宋_GB2312" w:asciiTheme="majorEastAsia" w:hAnsiTheme="majorEastAsia" w:cstheme="majorEastAsia"/>
                              <w:sz w:val="28"/>
                              <w:szCs w:val="28"/>
                              <w:lang w:eastAsia="zh-CN"/>
                            </w:rPr>
                            <w:fldChar w:fldCharType="separate"/>
                          </w:r>
                          <w:r>
                            <w:rPr>
                              <w:rFonts w:hint="eastAsia" w:eastAsia="仿宋_GB2312" w:asciiTheme="majorEastAsia" w:hAnsiTheme="majorEastAsia" w:cstheme="majorEastAsia"/>
                              <w:sz w:val="28"/>
                              <w:szCs w:val="28"/>
                              <w:lang w:eastAsia="zh-CN"/>
                            </w:rPr>
                            <w:t>2</w:t>
                          </w:r>
                          <w:r>
                            <w:rPr>
                              <w:rFonts w:hint="eastAsia" w:eastAsia="仿宋_GB2312" w:asciiTheme="majorEastAsia" w:hAnsi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2FC0087">
                    <w:pPr>
                      <w:pStyle w:val="9"/>
                      <w:rPr>
                        <w:rFonts w:hint="eastAsia" w:eastAsia="仿宋_GB2312"/>
                        <w:lang w:eastAsia="zh-CN"/>
                      </w:rPr>
                    </w:pPr>
                    <w:r>
                      <w:rPr>
                        <w:rFonts w:hint="eastAsia" w:eastAsia="仿宋_GB2312" w:asciiTheme="majorEastAsia" w:hAnsiTheme="majorEastAsia" w:cstheme="majorEastAsia"/>
                        <w:sz w:val="28"/>
                        <w:szCs w:val="28"/>
                        <w:lang w:eastAsia="zh-CN"/>
                      </w:rPr>
                      <w:fldChar w:fldCharType="begin"/>
                    </w:r>
                    <w:r>
                      <w:rPr>
                        <w:rFonts w:hint="eastAsia" w:eastAsia="仿宋_GB2312" w:asciiTheme="majorEastAsia" w:hAnsiTheme="majorEastAsia" w:cstheme="majorEastAsia"/>
                        <w:sz w:val="28"/>
                        <w:szCs w:val="28"/>
                        <w:lang w:eastAsia="zh-CN"/>
                      </w:rPr>
                      <w:instrText xml:space="preserve"> PAGE  \* MERGEFORMAT </w:instrText>
                    </w:r>
                    <w:r>
                      <w:rPr>
                        <w:rFonts w:hint="eastAsia" w:eastAsia="仿宋_GB2312" w:asciiTheme="majorEastAsia" w:hAnsiTheme="majorEastAsia" w:cstheme="majorEastAsia"/>
                        <w:sz w:val="28"/>
                        <w:szCs w:val="28"/>
                        <w:lang w:eastAsia="zh-CN"/>
                      </w:rPr>
                      <w:fldChar w:fldCharType="separate"/>
                    </w:r>
                    <w:r>
                      <w:rPr>
                        <w:rFonts w:hint="eastAsia" w:eastAsia="仿宋_GB2312" w:asciiTheme="majorEastAsia" w:hAnsiTheme="majorEastAsia" w:cstheme="majorEastAsia"/>
                        <w:sz w:val="28"/>
                        <w:szCs w:val="28"/>
                        <w:lang w:eastAsia="zh-CN"/>
                      </w:rPr>
                      <w:t>2</w:t>
                    </w:r>
                    <w:r>
                      <w:rPr>
                        <w:rFonts w:hint="eastAsia" w:eastAsia="仿宋_GB2312" w:asciiTheme="majorEastAsia" w:hAnsiTheme="majorEastAsia" w:cstheme="maj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ACE00">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35202">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9207">
    <w:pPr>
      <w:pStyle w:val="1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ECD3">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423FE"/>
    <w:multiLevelType w:val="multilevel"/>
    <w:tmpl w:val="86C423FE"/>
    <w:lvl w:ilvl="0" w:tentative="0">
      <w:start w:val="1"/>
      <w:numFmt w:val="none"/>
      <w:suff w:val="space"/>
      <w:lvlText w:val="第一节%1"/>
      <w:lvlJc w:val="left"/>
      <w:pPr>
        <w:tabs>
          <w:tab w:val="left" w:pos="0"/>
        </w:tabs>
      </w:pPr>
      <w:rPr>
        <w:rFonts w:hint="default" w:ascii="楷体_GB2312" w:hAnsi="楷体_GB2312" w:eastAsia="楷体_GB2312" w:cs="楷体_GB2312"/>
        <w:b w:val="0"/>
        <w:bCs w:val="0"/>
        <w:sz w:val="32"/>
        <w:szCs w:val="32"/>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
    <w:nsid w:val="CEB27183"/>
    <w:multiLevelType w:val="singleLevel"/>
    <w:tmpl w:val="CEB27183"/>
    <w:lvl w:ilvl="0" w:tentative="0">
      <w:start w:val="1"/>
      <w:numFmt w:val="chineseCounting"/>
      <w:suff w:val="nothing"/>
      <w:lvlText w:val="（%1）"/>
      <w:lvlJc w:val="left"/>
      <w:pPr>
        <w:ind w:left="0" w:firstLine="420"/>
      </w:pPr>
      <w:rPr>
        <w:rFonts w:hint="eastAsia" w:ascii="仿宋_GB2312" w:hAnsi="仿宋_GB2312" w:eastAsia="仿宋_GB2312" w:cs="仿宋_GB2312"/>
      </w:rPr>
    </w:lvl>
  </w:abstractNum>
  <w:abstractNum w:abstractNumId="2">
    <w:nsid w:val="DC4A6C64"/>
    <w:multiLevelType w:val="singleLevel"/>
    <w:tmpl w:val="DC4A6C64"/>
    <w:lvl w:ilvl="0" w:tentative="0">
      <w:start w:val="6"/>
      <w:numFmt w:val="chineseCounting"/>
      <w:suff w:val="space"/>
      <w:lvlText w:val="第%1条"/>
      <w:lvlJc w:val="left"/>
      <w:pPr>
        <w:tabs>
          <w:tab w:val="left" w:pos="0"/>
        </w:tabs>
      </w:pPr>
      <w:rPr>
        <w:rFonts w:hint="eastAsia" w:eastAsia="仿宋_GB2312"/>
        <w:b/>
        <w:bCs/>
        <w:strike w:val="0"/>
        <w:dstrike w:val="0"/>
        <w:color w:val="000000" w:themeColor="text1"/>
        <w:sz w:val="32"/>
        <w:szCs w:val="32"/>
        <w14:textFill>
          <w14:solidFill>
            <w14:schemeClr w14:val="tx1"/>
          </w14:solidFill>
        </w14:textFill>
      </w:rPr>
    </w:lvl>
  </w:abstractNum>
  <w:abstractNum w:abstractNumId="3">
    <w:nsid w:val="DDF26C34"/>
    <w:multiLevelType w:val="multilevel"/>
    <w:tmpl w:val="DDF26C34"/>
    <w:lvl w:ilvl="0" w:tentative="0">
      <w:start w:val="1"/>
      <w:numFmt w:val="chineseCounting"/>
      <w:suff w:val="nothing"/>
      <w:lvlText w:val="第%1章 "/>
      <w:lvlJc w:val="left"/>
      <w:pPr>
        <w:ind w:left="0" w:firstLine="402"/>
      </w:pPr>
      <w:rPr>
        <w:rFonts w:hint="eastAsia" w:ascii="黑体" w:hAnsi="黑体" w:eastAsia="黑体" w:cs="黑体"/>
        <w:sz w:val="32"/>
        <w:szCs w:val="32"/>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7774BB21"/>
    <w:multiLevelType w:val="singleLevel"/>
    <w:tmpl w:val="7774BB21"/>
    <w:lvl w:ilvl="0" w:tentative="0">
      <w:start w:val="1"/>
      <w:numFmt w:val="chineseCounting"/>
      <w:suff w:val="space"/>
      <w:lvlText w:val="第%1条"/>
      <w:lvlJc w:val="left"/>
      <w:pPr>
        <w:tabs>
          <w:tab w:val="left" w:pos="0"/>
        </w:tabs>
      </w:pPr>
      <w:rPr>
        <w:rFonts w:hint="eastAsia" w:ascii="仿宋_GB2312" w:hAnsi="仿宋_GB2312" w:eastAsia="仿宋_GB2312" w:cs="仿宋_GB2312"/>
        <w:b/>
        <w:bCs/>
        <w:sz w:val="32"/>
        <w:szCs w:val="32"/>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HorizontalSpacing w:val="158"/>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1A67CB"/>
    <w:rsid w:val="011A67CB"/>
    <w:rsid w:val="01A618A3"/>
    <w:rsid w:val="01FA23D4"/>
    <w:rsid w:val="02AC7315"/>
    <w:rsid w:val="02BA50BA"/>
    <w:rsid w:val="03612DE8"/>
    <w:rsid w:val="050F22F3"/>
    <w:rsid w:val="0619620D"/>
    <w:rsid w:val="065E16BE"/>
    <w:rsid w:val="06ED5604"/>
    <w:rsid w:val="07C920DA"/>
    <w:rsid w:val="08913A42"/>
    <w:rsid w:val="08A62C6A"/>
    <w:rsid w:val="08C34D54"/>
    <w:rsid w:val="0A4A5A6C"/>
    <w:rsid w:val="0B2C51AE"/>
    <w:rsid w:val="0B596479"/>
    <w:rsid w:val="0BB573D9"/>
    <w:rsid w:val="0C110944"/>
    <w:rsid w:val="0CC00D73"/>
    <w:rsid w:val="0D753BEB"/>
    <w:rsid w:val="0DFE4BD3"/>
    <w:rsid w:val="0FDC779A"/>
    <w:rsid w:val="10951C95"/>
    <w:rsid w:val="11130EB7"/>
    <w:rsid w:val="11550216"/>
    <w:rsid w:val="11711B7E"/>
    <w:rsid w:val="117E595A"/>
    <w:rsid w:val="11A1657F"/>
    <w:rsid w:val="11B8743D"/>
    <w:rsid w:val="13A01610"/>
    <w:rsid w:val="14147EF7"/>
    <w:rsid w:val="1454777E"/>
    <w:rsid w:val="14685CC6"/>
    <w:rsid w:val="15A56BD9"/>
    <w:rsid w:val="160700D3"/>
    <w:rsid w:val="18072DEE"/>
    <w:rsid w:val="18111C66"/>
    <w:rsid w:val="18381E81"/>
    <w:rsid w:val="18997A31"/>
    <w:rsid w:val="1B12602E"/>
    <w:rsid w:val="1BD4629B"/>
    <w:rsid w:val="1C165119"/>
    <w:rsid w:val="1D857AF7"/>
    <w:rsid w:val="1EDF1CB6"/>
    <w:rsid w:val="1F617174"/>
    <w:rsid w:val="1FB95E5C"/>
    <w:rsid w:val="200C5ED4"/>
    <w:rsid w:val="205D4729"/>
    <w:rsid w:val="2119744F"/>
    <w:rsid w:val="213601EB"/>
    <w:rsid w:val="22E02FAB"/>
    <w:rsid w:val="240D2D23"/>
    <w:rsid w:val="241C03E2"/>
    <w:rsid w:val="2547560C"/>
    <w:rsid w:val="2574542D"/>
    <w:rsid w:val="279F1CA5"/>
    <w:rsid w:val="287F32E8"/>
    <w:rsid w:val="29E03B91"/>
    <w:rsid w:val="2A0570FC"/>
    <w:rsid w:val="2A123502"/>
    <w:rsid w:val="2AE114CC"/>
    <w:rsid w:val="2B1D042E"/>
    <w:rsid w:val="2B4B3E53"/>
    <w:rsid w:val="2BBE0B05"/>
    <w:rsid w:val="2C0922A0"/>
    <w:rsid w:val="2C37214C"/>
    <w:rsid w:val="2D070CA4"/>
    <w:rsid w:val="2D0D0D04"/>
    <w:rsid w:val="2D1651B5"/>
    <w:rsid w:val="2D2E7D41"/>
    <w:rsid w:val="2D330D35"/>
    <w:rsid w:val="2D5E7684"/>
    <w:rsid w:val="2E0033EE"/>
    <w:rsid w:val="2E0574A2"/>
    <w:rsid w:val="32021B46"/>
    <w:rsid w:val="328B2AB7"/>
    <w:rsid w:val="330D559E"/>
    <w:rsid w:val="336174CA"/>
    <w:rsid w:val="33D72A54"/>
    <w:rsid w:val="33E96BF0"/>
    <w:rsid w:val="33EA3E5A"/>
    <w:rsid w:val="33EA4D50"/>
    <w:rsid w:val="349A42A4"/>
    <w:rsid w:val="379A4A65"/>
    <w:rsid w:val="3833769F"/>
    <w:rsid w:val="38362897"/>
    <w:rsid w:val="396D752A"/>
    <w:rsid w:val="3A046FF4"/>
    <w:rsid w:val="3BAE0644"/>
    <w:rsid w:val="3CAA3EAC"/>
    <w:rsid w:val="3D8E0A45"/>
    <w:rsid w:val="3E8A26B4"/>
    <w:rsid w:val="3FD462EE"/>
    <w:rsid w:val="40253F2F"/>
    <w:rsid w:val="402778A3"/>
    <w:rsid w:val="405F18D1"/>
    <w:rsid w:val="408C7491"/>
    <w:rsid w:val="40A77D41"/>
    <w:rsid w:val="411A3508"/>
    <w:rsid w:val="416B3F57"/>
    <w:rsid w:val="42471AD6"/>
    <w:rsid w:val="429D3281"/>
    <w:rsid w:val="43BA7E00"/>
    <w:rsid w:val="44010EE8"/>
    <w:rsid w:val="461578C4"/>
    <w:rsid w:val="477D7BA1"/>
    <w:rsid w:val="480870CA"/>
    <w:rsid w:val="48281160"/>
    <w:rsid w:val="482D093F"/>
    <w:rsid w:val="49C47D42"/>
    <w:rsid w:val="4A4B1A98"/>
    <w:rsid w:val="4DC0050D"/>
    <w:rsid w:val="4E144318"/>
    <w:rsid w:val="4E40500E"/>
    <w:rsid w:val="4EF75F53"/>
    <w:rsid w:val="4F6E31FA"/>
    <w:rsid w:val="515E3758"/>
    <w:rsid w:val="522D5F04"/>
    <w:rsid w:val="551C2CD8"/>
    <w:rsid w:val="56323DB0"/>
    <w:rsid w:val="56A168F4"/>
    <w:rsid w:val="573C3272"/>
    <w:rsid w:val="57BB1D04"/>
    <w:rsid w:val="59450A0C"/>
    <w:rsid w:val="5AE04F17"/>
    <w:rsid w:val="5AF02BB1"/>
    <w:rsid w:val="5B425424"/>
    <w:rsid w:val="5B5749F7"/>
    <w:rsid w:val="5BD86717"/>
    <w:rsid w:val="5BDB39C1"/>
    <w:rsid w:val="5BED7235"/>
    <w:rsid w:val="5D0D18D1"/>
    <w:rsid w:val="5D51492D"/>
    <w:rsid w:val="5D74398C"/>
    <w:rsid w:val="5DC840FA"/>
    <w:rsid w:val="5E2403BC"/>
    <w:rsid w:val="5F01135A"/>
    <w:rsid w:val="5FA32667"/>
    <w:rsid w:val="60D128F7"/>
    <w:rsid w:val="61483C6A"/>
    <w:rsid w:val="619610AE"/>
    <w:rsid w:val="62C94ED9"/>
    <w:rsid w:val="62DC6727"/>
    <w:rsid w:val="62FA2C97"/>
    <w:rsid w:val="64BC5DF4"/>
    <w:rsid w:val="64E04A50"/>
    <w:rsid w:val="65163A47"/>
    <w:rsid w:val="65A83F2F"/>
    <w:rsid w:val="66A00363"/>
    <w:rsid w:val="66AC1337"/>
    <w:rsid w:val="66BE1FF3"/>
    <w:rsid w:val="66D237F6"/>
    <w:rsid w:val="66DC44AF"/>
    <w:rsid w:val="66F83D6C"/>
    <w:rsid w:val="67677CA2"/>
    <w:rsid w:val="67861D82"/>
    <w:rsid w:val="688E0418"/>
    <w:rsid w:val="68B023C6"/>
    <w:rsid w:val="68C652AC"/>
    <w:rsid w:val="6BE41A97"/>
    <w:rsid w:val="6C072068"/>
    <w:rsid w:val="6D47025B"/>
    <w:rsid w:val="6E153222"/>
    <w:rsid w:val="6F184545"/>
    <w:rsid w:val="70145C33"/>
    <w:rsid w:val="70C93B69"/>
    <w:rsid w:val="712E17FB"/>
    <w:rsid w:val="714756C6"/>
    <w:rsid w:val="715A2AC4"/>
    <w:rsid w:val="71603AE8"/>
    <w:rsid w:val="71A82E6D"/>
    <w:rsid w:val="72EA029E"/>
    <w:rsid w:val="731F4D99"/>
    <w:rsid w:val="76282E6C"/>
    <w:rsid w:val="77CD7EEF"/>
    <w:rsid w:val="77D14A9F"/>
    <w:rsid w:val="78664361"/>
    <w:rsid w:val="787814B4"/>
    <w:rsid w:val="78FB7EF2"/>
    <w:rsid w:val="791A69DD"/>
    <w:rsid w:val="7A5F5A8D"/>
    <w:rsid w:val="7ADE16F5"/>
    <w:rsid w:val="7B161174"/>
    <w:rsid w:val="7B43779A"/>
    <w:rsid w:val="7E4A3145"/>
    <w:rsid w:val="7E685DF2"/>
    <w:rsid w:val="7ED10BFE"/>
    <w:rsid w:val="7F1B4ABB"/>
    <w:rsid w:val="7F471415"/>
    <w:rsid w:val="7FFB4E0B"/>
    <w:rsid w:val="DFB7B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32"/>
      <w:sz w:val="32"/>
      <w:szCs w:val="32"/>
      <w:lang w:val="en-US" w:eastAsia="zh-CN" w:bidi="ar-SA"/>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link w:val="16"/>
    <w:semiHidden/>
    <w:qFormat/>
    <w:uiPriority w:val="0"/>
    <w:rPr>
      <w:rFonts w:ascii="Times New Roman" w:hAnsi="Times New Roman"/>
      <w:snapToGrid/>
      <w:spacing w:val="-6"/>
      <w:kern w:val="2"/>
      <w:szCs w:val="20"/>
    </w:rPr>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eastAsia="宋体" w:cs="Times New Roman"/>
      <w:kern w:val="2"/>
      <w:sz w:val="21"/>
    </w:rPr>
  </w:style>
  <w:style w:type="paragraph" w:styleId="3">
    <w:name w:val="Title"/>
    <w:basedOn w:val="1"/>
    <w:next w:val="1"/>
    <w:qFormat/>
    <w:uiPriority w:val="0"/>
    <w:pPr>
      <w:spacing w:before="240" w:after="60"/>
      <w:jc w:val="center"/>
      <w:outlineLvl w:val="0"/>
    </w:pPr>
    <w:rPr>
      <w:rFonts w:ascii="Arial" w:hAnsi="Arial" w:cs="Arial"/>
      <w:b/>
      <w:bCs/>
      <w:sz w:val="32"/>
      <w:szCs w:val="32"/>
    </w:rPr>
  </w:style>
  <w:style w:type="paragraph" w:styleId="5">
    <w:name w:val="Normal Indent"/>
    <w:basedOn w:val="1"/>
    <w:next w:val="1"/>
    <w:qFormat/>
    <w:uiPriority w:val="0"/>
    <w:pPr>
      <w:spacing w:line="500" w:lineRule="exact"/>
      <w:ind w:right="8" w:rightChars="8" w:firstLine="640"/>
    </w:pPr>
    <w:rPr>
      <w:rFonts w:ascii="Calibri" w:hAnsi="Calibri" w:eastAsia="宋体" w:cs="Times New Roman"/>
      <w:kern w:val="0"/>
      <w:sz w:val="24"/>
    </w:rPr>
  </w:style>
  <w:style w:type="paragraph" w:styleId="6">
    <w:name w:val="toc 5"/>
    <w:basedOn w:val="1"/>
    <w:next w:val="1"/>
    <w:qFormat/>
    <w:uiPriority w:val="0"/>
    <w:pPr>
      <w:widowControl w:val="0"/>
      <w:ind w:left="1680" w:leftChars="800"/>
      <w:jc w:val="both"/>
    </w:pPr>
    <w:rPr>
      <w:rFonts w:ascii="Times New Roman" w:hAnsi="Times New Roman" w:eastAsia="宋体" w:cs="Times New Roman"/>
      <w:kern w:val="2"/>
      <w:sz w:val="21"/>
      <w:szCs w:val="24"/>
      <w:lang w:val="en-US" w:eastAsia="zh-CN" w:bidi="ar-SA"/>
    </w:rPr>
  </w:style>
  <w:style w:type="paragraph" w:styleId="7">
    <w:name w:val="Plain Text"/>
    <w:basedOn w:val="1"/>
    <w:qFormat/>
    <w:uiPriority w:val="0"/>
    <w:rPr>
      <w:rFonts w:ascii="宋体" w:hAnsi="Courier New" w:eastAsia="宋体" w:cs="Courier New"/>
      <w:snapToGrid/>
      <w:kern w:val="2"/>
      <w:sz w:val="21"/>
      <w:szCs w:val="21"/>
    </w:rPr>
  </w:style>
  <w:style w:type="paragraph" w:styleId="8">
    <w:name w:val="Body Text Indent 2"/>
    <w:basedOn w:val="1"/>
    <w:qFormat/>
    <w:uiPriority w:val="0"/>
    <w:pPr>
      <w:pBdr>
        <w:top w:val="single" w:color="auto" w:sz="4" w:space="1"/>
        <w:bottom w:val="single" w:color="auto" w:sz="4" w:space="1"/>
      </w:pBdr>
      <w:spacing w:line="560" w:lineRule="exact"/>
      <w:ind w:left="1120" w:hanging="1120" w:hangingChars="350"/>
    </w:pPr>
    <w:rPr>
      <w:rFonts w:ascii="Times New Roman" w:hAnsi="Times New Roman"/>
      <w:snapToGrid/>
      <w:kern w:val="2"/>
      <w:szCs w:val="2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 Char Char Char Char Char Char Char"/>
    <w:basedOn w:val="1"/>
    <w:link w:val="15"/>
    <w:qFormat/>
    <w:uiPriority w:val="0"/>
    <w:pPr>
      <w:widowControl/>
      <w:adjustRightInd w:val="0"/>
      <w:spacing w:after="160" w:line="240" w:lineRule="exact"/>
      <w:jc w:val="left"/>
      <w:textAlignment w:val="baseline"/>
    </w:pPr>
    <w:rPr>
      <w:rFonts w:ascii="Times New Roman" w:hAnsi="Times New Roman"/>
      <w:snapToGrid/>
      <w:spacing w:val="-6"/>
      <w:kern w:val="2"/>
      <w:szCs w:val="20"/>
    </w:rPr>
  </w:style>
  <w:style w:type="character" w:styleId="17">
    <w:name w:val="Strong"/>
    <w:basedOn w:val="15"/>
    <w:qFormat/>
    <w:uiPriority w:val="0"/>
    <w:rPr>
      <w:b/>
    </w:rPr>
  </w:style>
  <w:style w:type="character" w:styleId="18">
    <w:name w:val="page number"/>
    <w:basedOn w:val="15"/>
    <w:qFormat/>
    <w:uiPriority w:val="0"/>
    <w:rPr>
      <w:rFonts w:eastAsia="仿宋_GB2312"/>
      <w:sz w:val="32"/>
    </w:rPr>
  </w:style>
  <w:style w:type="paragraph" w:customStyle="1" w:styleId="19">
    <w:name w:val="_Style 5"/>
    <w:qFormat/>
    <w:uiPriority w:val="99"/>
    <w:pPr>
      <w:widowControl w:val="0"/>
      <w:ind w:firstLine="200" w:firstLineChars="200"/>
      <w:jc w:val="both"/>
    </w:pPr>
    <w:rPr>
      <w:rFonts w:ascii="Calibri" w:hAnsi="Calibri" w:eastAsia="宋体" w:cs="Calibri"/>
      <w:kern w:val="2"/>
      <w:sz w:val="24"/>
      <w:szCs w:val="24"/>
      <w:lang w:val="en-US" w:eastAsia="zh-CN" w:bidi="ar-SA"/>
    </w:rPr>
  </w:style>
  <w:style w:type="paragraph" w:customStyle="1" w:styleId="2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1">
    <w:name w:val="Body text|1"/>
    <w:basedOn w:val="1"/>
    <w:qFormat/>
    <w:uiPriority w:val="0"/>
    <w:pPr>
      <w:widowControl w:val="0"/>
      <w:shd w:val="clear" w:color="auto" w:fill="auto"/>
      <w:spacing w:line="391" w:lineRule="auto"/>
      <w:ind w:firstLine="400"/>
    </w:pPr>
    <w:rPr>
      <w:rFonts w:ascii="宋体" w:hAnsi="宋体" w:eastAsia="宋体" w:cs="宋体"/>
      <w:sz w:val="32"/>
      <w:szCs w:val="32"/>
      <w:u w:val="none"/>
      <w:shd w:val="clear" w:color="auto" w:fill="auto"/>
      <w:lang w:val="zh-TW" w:eastAsia="zh-TW" w:bidi="zh-TW"/>
    </w:rPr>
  </w:style>
  <w:style w:type="character" w:customStyle="1" w:styleId="22">
    <w:name w:val="font51"/>
    <w:basedOn w:val="15"/>
    <w:qFormat/>
    <w:uiPriority w:val="0"/>
    <w:rPr>
      <w:rFonts w:hint="default" w:ascii="Calibri" w:hAnsi="Calibri" w:cs="Calibri"/>
      <w:color w:val="000000"/>
      <w:sz w:val="24"/>
      <w:szCs w:val="24"/>
      <w:u w:val="none"/>
    </w:rPr>
  </w:style>
  <w:style w:type="character" w:customStyle="1" w:styleId="23">
    <w:name w:val="font4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揭阳市卫生和计划生育局</Company>
  <Pages>40</Pages>
  <Words>14467</Words>
  <Characters>14745</Characters>
  <Lines>1</Lines>
  <Paragraphs>1</Paragraphs>
  <TotalTime>35</TotalTime>
  <ScaleCrop>false</ScaleCrop>
  <LinksUpToDate>false</LinksUpToDate>
  <CharactersWithSpaces>14858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2022-06-09T02:28:00Z</dcterms:created>
  <dc:creator>AWB01</dc:creator>
  <cp:lastModifiedBy>Administrator</cp:lastModifiedBy>
  <cp:lastPrinted>2026-08-06T08:41:00Z</cp:lastPrinted>
  <dcterms:modified xsi:type="dcterms:W3CDTF">2026-08-14T02:34:08Z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eyJoZGlkIjoiM2I2OTdhNTQxY2EyYjgwYjQ2NTYzMzJkOWIzMzIzMWIifQ==</vt:lpwstr>
  </property>
  <property fmtid="{D5CDD505-2E9C-101B-9397-08002B2CF9AE}" pid="4" name="ICV">
    <vt:lpwstr>CD921A43D2B64E2EA375058DBD83C0D3_12</vt:lpwstr>
  </property>
</Properties>
</file>