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58D9C">
      <w:pPr>
        <w:spacing w:line="446" w:lineRule="auto"/>
        <w:rPr>
          <w:rFonts w:ascii="Arial"/>
          <w:sz w:val="21"/>
        </w:rPr>
      </w:pPr>
      <w:bookmarkStart w:id="0" w:name="_GoBack"/>
      <w:bookmarkEnd w:id="0"/>
    </w:p>
    <w:p w14:paraId="487B2135">
      <w:pPr>
        <w:pStyle w:val="2"/>
        <w:spacing w:before="120" w:line="219" w:lineRule="auto"/>
        <w:jc w:val="center"/>
        <w:outlineLvl w:val="0"/>
        <w:rPr>
          <w:sz w:val="37"/>
          <w:szCs w:val="37"/>
        </w:rPr>
      </w:pPr>
      <w:r>
        <w:rPr>
          <w:b/>
          <w:bCs/>
          <w:spacing w:val="-32"/>
          <w:sz w:val="37"/>
          <w:szCs w:val="37"/>
        </w:rPr>
        <w:t>揭阳市揭东区建设用地周转规模使用方案</w:t>
      </w:r>
    </w:p>
    <w:p w14:paraId="02355C27">
      <w:pPr>
        <w:pStyle w:val="2"/>
        <w:spacing w:before="146" w:line="222" w:lineRule="auto"/>
        <w:jc w:val="center"/>
        <w:rPr>
          <w:sz w:val="37"/>
          <w:szCs w:val="37"/>
        </w:rPr>
      </w:pPr>
      <w:r>
        <w:rPr>
          <w:b/>
          <w:bCs/>
          <w:spacing w:val="-19"/>
          <w:sz w:val="37"/>
          <w:szCs w:val="37"/>
        </w:rPr>
        <w:t>(揭东区乡村振兴产业项目)</w:t>
      </w:r>
    </w:p>
    <w:p w14:paraId="25D23782">
      <w:pPr>
        <w:spacing w:before="111" w:line="219" w:lineRule="auto"/>
        <w:ind w:left="3614"/>
        <w:rPr>
          <w:rFonts w:hint="eastAsia" w:ascii="方正仿宋简体" w:hAnsi="方正仿宋简体" w:eastAsia="方正仿宋简体" w:cs="方正仿宋简体"/>
          <w:snapToGrid w:val="0"/>
          <w:color w:val="000000"/>
          <w:spacing w:val="-4"/>
          <w:kern w:val="0"/>
          <w:sz w:val="28"/>
          <w:szCs w:val="28"/>
          <w:lang w:val="en-US" w:eastAsia="en-US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"/>
          <w:kern w:val="0"/>
          <w:sz w:val="28"/>
          <w:szCs w:val="28"/>
          <w:lang w:val="en-US" w:eastAsia="en-US" w:bidi="ar-SA"/>
        </w:rPr>
        <w:t>(公示稿)</w:t>
      </w:r>
    </w:p>
    <w:p w14:paraId="75F85820">
      <w:pPr>
        <w:pStyle w:val="2"/>
        <w:spacing w:before="23" w:line="219" w:lineRule="auto"/>
        <w:ind w:left="165"/>
        <w:rPr>
          <w:rFonts w:hint="eastAsia" w:ascii="方正仿宋简体" w:hAnsi="方正仿宋简体" w:eastAsia="方正仿宋简体" w:cs="方正仿宋简体"/>
          <w:snapToGrid w:val="0"/>
          <w:color w:val="000000"/>
          <w:spacing w:val="-4"/>
          <w:kern w:val="0"/>
          <w:sz w:val="28"/>
          <w:szCs w:val="28"/>
          <w:lang w:val="en-US" w:eastAsia="en-US" w:bidi="ar-SA"/>
        </w:rPr>
      </w:pPr>
    </w:p>
    <w:p w14:paraId="2B8975B7">
      <w:pPr>
        <w:pStyle w:val="2"/>
        <w:spacing w:before="23" w:line="219" w:lineRule="auto"/>
        <w:ind w:left="165"/>
        <w:rPr>
          <w:rFonts w:hint="eastAsia" w:ascii="方正仿宋简体" w:hAnsi="方正仿宋简体" w:eastAsia="方正仿宋简体" w:cs="方正仿宋简体"/>
          <w:snapToGrid w:val="0"/>
          <w:color w:val="000000"/>
          <w:spacing w:val="-4"/>
          <w:kern w:val="0"/>
          <w:sz w:val="28"/>
          <w:szCs w:val="28"/>
          <w:lang w:val="en-US" w:eastAsia="en-US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"/>
          <w:kern w:val="0"/>
          <w:sz w:val="28"/>
          <w:szCs w:val="28"/>
          <w:lang w:val="en-US" w:eastAsia="en-US" w:bidi="ar-SA"/>
        </w:rPr>
        <w:t>一、使用建设用地周转规模的原因</w:t>
      </w:r>
    </w:p>
    <w:p w14:paraId="61C0792A">
      <w:pPr>
        <w:pStyle w:val="2"/>
        <w:spacing w:before="11" w:line="225" w:lineRule="auto"/>
        <w:ind w:left="165" w:right="569" w:firstLine="539"/>
        <w:jc w:val="both"/>
        <w:rPr>
          <w:rFonts w:hint="eastAsia" w:ascii="方正仿宋简体" w:hAnsi="方正仿宋简体" w:eastAsia="方正仿宋简体" w:cs="方正仿宋简体"/>
        </w:rPr>
      </w:pPr>
      <w:r>
        <w:rPr>
          <w:rFonts w:hint="eastAsia" w:ascii="方正仿宋简体" w:hAnsi="方正仿宋简体" w:eastAsia="方正仿宋简体" w:cs="方正仿宋简体"/>
          <w:spacing w:val="-7"/>
        </w:rPr>
        <w:t>揭东区乡村振兴产业项目是揭东区助力乡村</w:t>
      </w:r>
      <w:r>
        <w:rPr>
          <w:rFonts w:hint="eastAsia" w:ascii="方正仿宋简体" w:hAnsi="方正仿宋简体" w:eastAsia="方正仿宋简体" w:cs="方正仿宋简体"/>
          <w:spacing w:val="-8"/>
        </w:rPr>
        <w:t>振兴战略实施的重</w:t>
      </w:r>
      <w:r>
        <w:rPr>
          <w:rFonts w:hint="eastAsia" w:ascii="方正仿宋简体" w:hAnsi="方正仿宋简体" w:eastAsia="方正仿宋简体" w:cs="方正仿宋简体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8"/>
        </w:rPr>
        <w:t>要举措。根据《广东省自然资源厅关于做好城镇开发边界管理的通知</w:t>
      </w:r>
      <w:r>
        <w:rPr>
          <w:rFonts w:hint="eastAsia" w:ascii="方正仿宋简体" w:hAnsi="方正仿宋简体" w:eastAsia="方正仿宋简体" w:cs="方正仿宋简体"/>
          <w:spacing w:val="2"/>
        </w:rPr>
        <w:t xml:space="preserve">  </w:t>
      </w:r>
      <w:r>
        <w:rPr>
          <w:rFonts w:hint="eastAsia" w:ascii="方正仿宋简体" w:hAnsi="方正仿宋简体" w:eastAsia="方正仿宋简体" w:cs="方正仿宋简体"/>
          <w:spacing w:val="-10"/>
        </w:rPr>
        <w:t>(试行)》(粤自然资发〔2024〕4号)</w:t>
      </w:r>
      <w:r>
        <w:rPr>
          <w:rFonts w:hint="eastAsia" w:ascii="方正仿宋简体" w:hAnsi="方正仿宋简体" w:eastAsia="方正仿宋简体" w:cs="方正仿宋简体"/>
          <w:spacing w:val="-11"/>
        </w:rPr>
        <w:t>、《广东省自然资源厅关于规范</w:t>
      </w:r>
      <w:r>
        <w:rPr>
          <w:rFonts w:hint="eastAsia" w:ascii="方正仿宋简体" w:hAnsi="方正仿宋简体" w:eastAsia="方正仿宋简体" w:cs="方正仿宋简体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4"/>
        </w:rPr>
        <w:t>城镇建设用地规模落实和建设用地周转规模使用报批材料的通知》</w:t>
      </w:r>
      <w:r>
        <w:rPr>
          <w:rFonts w:hint="eastAsia" w:ascii="方正仿宋简体" w:hAnsi="方正仿宋简体" w:eastAsia="方正仿宋简体" w:cs="方正仿宋简体"/>
          <w:spacing w:val="14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2"/>
        </w:rPr>
        <w:t>(粤自然资规划〔2025〕1361号)和《关于明确城</w:t>
      </w:r>
      <w:r>
        <w:rPr>
          <w:rFonts w:hint="eastAsia" w:ascii="方正仿宋简体" w:hAnsi="方正仿宋简体" w:eastAsia="方正仿宋简体" w:cs="方正仿宋简体"/>
          <w:spacing w:val="1"/>
        </w:rPr>
        <w:t>镇开发边界管理</w:t>
      </w:r>
      <w:r>
        <w:rPr>
          <w:rFonts w:hint="eastAsia" w:ascii="方正仿宋简体" w:hAnsi="方正仿宋简体" w:eastAsia="方正仿宋简体" w:cs="方正仿宋简体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8"/>
        </w:rPr>
        <w:t>有关事项的通知》(揭市自然资通〔2025〕78号)等文件要求，我局</w:t>
      </w:r>
      <w:r>
        <w:rPr>
          <w:rFonts w:hint="eastAsia" w:ascii="方正仿宋简体" w:hAnsi="方正仿宋简体" w:eastAsia="方正仿宋简体" w:cs="方正仿宋简体"/>
          <w:spacing w:val="9"/>
        </w:rPr>
        <w:t xml:space="preserve">  </w:t>
      </w:r>
      <w:r>
        <w:rPr>
          <w:rFonts w:hint="eastAsia" w:ascii="方正仿宋简体" w:hAnsi="方正仿宋简体" w:eastAsia="方正仿宋简体" w:cs="方正仿宋简体"/>
          <w:spacing w:val="-12"/>
        </w:rPr>
        <w:t>编制了《揭阳市揭东区建设用地周转规模使用方案(揭东区乡村振兴</w:t>
      </w:r>
      <w:r>
        <w:rPr>
          <w:rFonts w:hint="eastAsia" w:ascii="方正仿宋简体" w:hAnsi="方正仿宋简体" w:eastAsia="方正仿宋简体" w:cs="方正仿宋简体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34"/>
        </w:rPr>
        <w:t>产业项目)》。</w:t>
      </w:r>
    </w:p>
    <w:p w14:paraId="6C23EEEF">
      <w:pPr>
        <w:pStyle w:val="2"/>
        <w:spacing w:before="37" w:line="219" w:lineRule="auto"/>
        <w:ind w:left="165"/>
        <w:rPr>
          <w:rFonts w:hint="eastAsia" w:ascii="方正仿宋简体" w:hAnsi="方正仿宋简体" w:eastAsia="方正仿宋简体" w:cs="方正仿宋简体"/>
        </w:rPr>
      </w:pPr>
      <w:r>
        <w:rPr>
          <w:rFonts w:hint="eastAsia" w:ascii="方正仿宋简体" w:hAnsi="方正仿宋简体" w:eastAsia="方正仿宋简体" w:cs="方正仿宋简体"/>
          <w:spacing w:val="-13"/>
        </w:rPr>
        <w:t>二、使用建设用地周转规模具体情况</w:t>
      </w:r>
    </w:p>
    <w:p w14:paraId="3C6C93DF">
      <w:pPr>
        <w:pStyle w:val="2"/>
        <w:spacing w:before="19" w:line="227" w:lineRule="auto"/>
        <w:ind w:left="165" w:right="649" w:firstLine="539"/>
        <w:rPr>
          <w:rFonts w:hint="eastAsia" w:ascii="方正仿宋简体" w:hAnsi="方正仿宋简体" w:eastAsia="方正仿宋简体" w:cs="方正仿宋简体"/>
        </w:rPr>
      </w:pPr>
      <w:r>
        <w:rPr>
          <w:rFonts w:hint="eastAsia" w:ascii="方正仿宋简体" w:hAnsi="方正仿宋简体" w:eastAsia="方正仿宋简体" w:cs="方正仿宋简体"/>
          <w:spacing w:val="-11"/>
        </w:rPr>
        <w:t>本项目共涉及799个周转规模使用地块，位于揭东区磐东街道、</w:t>
      </w:r>
      <w:r>
        <w:rPr>
          <w:rFonts w:hint="eastAsia" w:ascii="方正仿宋简体" w:hAnsi="方正仿宋简体" w:eastAsia="方正仿宋简体" w:cs="方正仿宋简体"/>
          <w:spacing w:val="18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8"/>
        </w:rPr>
        <w:t>曲溪街道、白塔镇、桂岭镇、霖磐镇、龙尾镇、锡场镇、新亨镇、玉</w:t>
      </w:r>
      <w:r>
        <w:rPr>
          <w:rFonts w:hint="eastAsia" w:ascii="方正仿宋简体" w:hAnsi="方正仿宋简体" w:eastAsia="方正仿宋简体" w:cs="方正仿宋简体"/>
          <w:spacing w:val="1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0"/>
        </w:rPr>
        <w:t>湖镇、玉滘镇、月城镇、云路镇、埔田镇，用地面积11.8844公顷。</w:t>
      </w:r>
      <w:r>
        <w:rPr>
          <w:rFonts w:hint="eastAsia" w:ascii="方正仿宋简体" w:hAnsi="方正仿宋简体" w:eastAsia="方正仿宋简体" w:cs="方正仿宋简体"/>
          <w:spacing w:val="8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3"/>
        </w:rPr>
        <w:t>使用前规划用地性质为农用地(耕地、园地、林地、草地、其他农用</w:t>
      </w:r>
      <w:r>
        <w:rPr>
          <w:rFonts w:hint="eastAsia" w:ascii="方正仿宋简体" w:hAnsi="方正仿宋简体" w:eastAsia="方正仿宋简体" w:cs="方正仿宋简体"/>
          <w:spacing w:val="17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8"/>
        </w:rPr>
        <w:t>地)、建设用地、未利用地，使用后规划用地性质均为村庄用地(工</w:t>
      </w:r>
      <w:r>
        <w:rPr>
          <w:rFonts w:hint="eastAsia" w:ascii="方正仿宋简体" w:hAnsi="方正仿宋简体" w:eastAsia="方正仿宋简体" w:cs="方正仿宋简体"/>
          <w:spacing w:val="16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9"/>
        </w:rPr>
        <w:t>业用地)。</w:t>
      </w:r>
    </w:p>
    <w:p w14:paraId="275C182E">
      <w:pPr>
        <w:pStyle w:val="2"/>
        <w:spacing w:before="16" w:line="220" w:lineRule="auto"/>
        <w:ind w:left="165"/>
        <w:rPr>
          <w:rFonts w:hint="eastAsia" w:ascii="方正仿宋简体" w:hAnsi="方正仿宋简体" w:eastAsia="方正仿宋简体" w:cs="方正仿宋简体"/>
        </w:rPr>
      </w:pPr>
      <w:r>
        <w:rPr>
          <w:rFonts w:hint="eastAsia" w:ascii="方正仿宋简体" w:hAnsi="方正仿宋简体" w:eastAsia="方正仿宋简体" w:cs="方正仿宋简体"/>
          <w:spacing w:val="-15"/>
        </w:rPr>
        <w:t>三、项目选址合理性</w:t>
      </w:r>
    </w:p>
    <w:p w14:paraId="40765215">
      <w:pPr>
        <w:pStyle w:val="2"/>
        <w:spacing w:before="22" w:line="224" w:lineRule="auto"/>
        <w:ind w:left="165" w:right="609" w:firstLine="539"/>
        <w:jc w:val="both"/>
        <w:rPr>
          <w:rFonts w:hint="eastAsia" w:ascii="方正仿宋简体" w:hAnsi="方正仿宋简体" w:eastAsia="方正仿宋简体" w:cs="方正仿宋简体"/>
        </w:rPr>
      </w:pPr>
      <w:r>
        <w:rPr>
          <w:rFonts w:hint="eastAsia" w:ascii="方正仿宋简体" w:hAnsi="方正仿宋简体" w:eastAsia="方正仿宋简体" w:cs="方正仿宋简体"/>
          <w:spacing w:val="-10"/>
        </w:rPr>
        <w:t>本项目用地0.0605公顷城镇开发边界内，11.8239公顷城镇开发</w:t>
      </w:r>
      <w:r>
        <w:rPr>
          <w:rFonts w:hint="eastAsia" w:ascii="方正仿宋简体" w:hAnsi="方正仿宋简体" w:eastAsia="方正仿宋简体" w:cs="方正仿宋简体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7"/>
        </w:rPr>
        <w:t>边界外，不属于开发区和产业园区项目，不属于城镇居住用地，项目</w:t>
      </w:r>
      <w:r>
        <w:rPr>
          <w:rFonts w:hint="eastAsia" w:ascii="方正仿宋简体" w:hAnsi="方正仿宋简体" w:eastAsia="方正仿宋简体" w:cs="方正仿宋简体"/>
          <w:spacing w:val="5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7"/>
        </w:rPr>
        <w:t>均为支持乡村振兴的建设项目，项目符合《城镇开发边界外布局建设</w:t>
      </w:r>
      <w:r>
        <w:rPr>
          <w:rFonts w:hint="eastAsia" w:ascii="方正仿宋简体" w:hAnsi="方正仿宋简体" w:eastAsia="方正仿宋简体" w:cs="方正仿宋简体"/>
          <w:spacing w:val="7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5"/>
        </w:rPr>
        <w:t>项目准入目录(试行》的第5种情形，即“因农村集体经济要求，</w:t>
      </w:r>
      <w:r>
        <w:rPr>
          <w:rFonts w:hint="eastAsia" w:ascii="方正仿宋简体" w:hAnsi="方正仿宋简体" w:eastAsia="方正仿宋简体" w:cs="方正仿宋简体"/>
          <w:spacing w:val="8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8"/>
        </w:rPr>
        <w:t>需落实的村留用地、安置地、多层农民公寓、农村一二三产业融合发</w:t>
      </w:r>
      <w:r>
        <w:rPr>
          <w:rFonts w:hint="eastAsia" w:ascii="方正仿宋简体" w:hAnsi="方正仿宋简体" w:eastAsia="方正仿宋简体" w:cs="方正仿宋简体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24"/>
        </w:rPr>
        <w:t>展用地及支持乡村振兴的建设项目”。</w:t>
      </w:r>
    </w:p>
    <w:p w14:paraId="77976EFD">
      <w:pPr>
        <w:pStyle w:val="2"/>
        <w:spacing w:before="36" w:line="229" w:lineRule="auto"/>
        <w:ind w:left="165" w:right="649" w:firstLine="539"/>
        <w:jc w:val="both"/>
        <w:rPr>
          <w:rFonts w:hint="eastAsia" w:ascii="方正仿宋简体" w:hAnsi="方正仿宋简体" w:eastAsia="方正仿宋简体" w:cs="方正仿宋简体"/>
        </w:rPr>
      </w:pPr>
      <w:r>
        <w:rPr>
          <w:rFonts w:hint="eastAsia" w:ascii="方正仿宋简体" w:hAnsi="方正仿宋简体" w:eastAsia="方正仿宋简体" w:cs="方正仿宋简体"/>
          <w:spacing w:val="-7"/>
        </w:rPr>
        <w:t>周转地块不涉及占用核实处置后永久基本农田，占用现状耕地</w:t>
      </w:r>
      <w:r>
        <w:rPr>
          <w:rFonts w:hint="eastAsia" w:ascii="方正仿宋简体" w:hAnsi="方正仿宋简体" w:eastAsia="方正仿宋简体" w:cs="方正仿宋简体"/>
          <w:spacing w:val="9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4"/>
        </w:rPr>
        <w:t>0.4756公顷，根据耕地占补平衡要求，在建设用地周转规模使用后，</w:t>
      </w:r>
      <w:r>
        <w:rPr>
          <w:rFonts w:hint="eastAsia" w:ascii="方正仿宋简体" w:hAnsi="方正仿宋简体" w:eastAsia="方正仿宋简体" w:cs="方正仿宋简体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8"/>
        </w:rPr>
        <w:t>项目建设单位在用地报批过程中需要补充不低于同等质量耕地，确保</w:t>
      </w:r>
      <w:r>
        <w:rPr>
          <w:rFonts w:hint="eastAsia" w:ascii="方正仿宋简体" w:hAnsi="方正仿宋简体" w:eastAsia="方正仿宋简体" w:cs="方正仿宋简体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6"/>
        </w:rPr>
        <w:t>规模落实后耕地保有量不减少，耕地质量不降低。</w:t>
      </w:r>
    </w:p>
    <w:p w14:paraId="550E1078">
      <w:pPr>
        <w:pStyle w:val="2"/>
        <w:spacing w:before="18" w:line="219" w:lineRule="auto"/>
        <w:ind w:left="704"/>
        <w:rPr>
          <w:rFonts w:hint="eastAsia" w:ascii="方正仿宋简体" w:hAnsi="方正仿宋简体" w:eastAsia="方正仿宋简体" w:cs="方正仿宋简体"/>
        </w:rPr>
      </w:pPr>
      <w:r>
        <w:rPr>
          <w:rFonts w:hint="eastAsia" w:ascii="方正仿宋简体" w:hAnsi="方正仿宋简体" w:eastAsia="方正仿宋简体" w:cs="方正仿宋简体"/>
          <w:spacing w:val="-21"/>
        </w:rPr>
        <w:t>周转地块不涉及生态保护红线、自然保护地</w:t>
      </w:r>
      <w:r>
        <w:rPr>
          <w:rFonts w:hint="eastAsia" w:ascii="方正仿宋简体" w:hAnsi="方正仿宋简体" w:eastAsia="方正仿宋简体" w:cs="方正仿宋简体"/>
          <w:spacing w:val="-22"/>
        </w:rPr>
        <w:t>范围，符合管控要求。</w:t>
      </w:r>
    </w:p>
    <w:p w14:paraId="609B7000">
      <w:pPr>
        <w:pStyle w:val="2"/>
        <w:spacing w:before="8" w:line="226" w:lineRule="auto"/>
        <w:ind w:left="165" w:right="685" w:firstLine="539"/>
        <w:rPr>
          <w:rFonts w:hint="eastAsia" w:ascii="方正仿宋简体" w:hAnsi="方正仿宋简体" w:eastAsia="方正仿宋简体" w:cs="方正仿宋简体"/>
        </w:rPr>
      </w:pPr>
      <w:r>
        <w:rPr>
          <w:rFonts w:hint="eastAsia" w:ascii="方正仿宋简体" w:hAnsi="方正仿宋简体" w:eastAsia="方正仿宋简体" w:cs="方正仿宋简体"/>
          <w:spacing w:val="-17"/>
        </w:rPr>
        <w:t>周转地块不涉及城市蓝线、城市绿线、城市黄线、城市紫线、历</w:t>
      </w:r>
      <w:r>
        <w:rPr>
          <w:rFonts w:hint="eastAsia" w:ascii="方正仿宋简体" w:hAnsi="方正仿宋简体" w:eastAsia="方正仿宋简体" w:cs="方正仿宋简体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5"/>
        </w:rPr>
        <w:t>史文化保护线等国土空间总体规划控制线，符</w:t>
      </w:r>
      <w:r>
        <w:rPr>
          <w:rFonts w:hint="eastAsia" w:ascii="方正仿宋简体" w:hAnsi="方正仿宋简体" w:eastAsia="方正仿宋简体" w:cs="方正仿宋简体"/>
          <w:spacing w:val="-16"/>
        </w:rPr>
        <w:t>合管控要求。</w:t>
      </w:r>
    </w:p>
    <w:p w14:paraId="128F91F9">
      <w:pPr>
        <w:pStyle w:val="2"/>
        <w:spacing w:before="1" w:line="213" w:lineRule="auto"/>
        <w:ind w:left="165"/>
        <w:rPr>
          <w:rFonts w:hint="eastAsia" w:ascii="方正仿宋简体" w:hAnsi="方正仿宋简体" w:eastAsia="方正仿宋简体" w:cs="方正仿宋简体"/>
        </w:rPr>
      </w:pPr>
      <w:r>
        <w:rPr>
          <w:rFonts w:hint="eastAsia" w:ascii="方正仿宋简体" w:hAnsi="方正仿宋简体" w:eastAsia="方正仿宋简体" w:cs="方正仿宋简体"/>
          <w:spacing w:val="-14"/>
        </w:rPr>
        <w:t>四、对土地利用调控指标的影响</w:t>
      </w:r>
    </w:p>
    <w:p w14:paraId="04FD103F">
      <w:pPr>
        <w:pStyle w:val="2"/>
        <w:spacing w:before="3" w:line="239" w:lineRule="auto"/>
        <w:ind w:left="165" w:right="648" w:firstLine="539"/>
        <w:rPr>
          <w:rFonts w:hint="eastAsia" w:ascii="方正仿宋简体" w:hAnsi="方正仿宋简体" w:eastAsia="方正仿宋简体" w:cs="方正仿宋简体"/>
        </w:rPr>
      </w:pPr>
      <w:r>
        <w:rPr>
          <w:rFonts w:hint="eastAsia" w:ascii="方正仿宋简体" w:hAnsi="方正仿宋简体" w:eastAsia="方正仿宋简体" w:cs="方正仿宋简体"/>
          <w:spacing w:val="-16"/>
        </w:rPr>
        <w:t>本次周转规模使用后，揭东区耕地保有量不减少、永久基本农田</w:t>
      </w:r>
      <w:r>
        <w:rPr>
          <w:rFonts w:hint="eastAsia" w:ascii="方正仿宋简体" w:hAnsi="方正仿宋简体" w:eastAsia="方正仿宋简体" w:cs="方正仿宋简体"/>
          <w:spacing w:val="8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8"/>
        </w:rPr>
        <w:t>保护面积不变。</w:t>
      </w:r>
    </w:p>
    <w:sectPr>
      <w:pgSz w:w="11900" w:h="16820"/>
      <w:pgMar w:top="1701" w:right="1247" w:bottom="1871" w:left="124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3EF55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c0c3138f-e599-4e44-9f9e-3a6170cf43ea</errorID>
      <errorWord>城镇开发 边界</errorWord>
      <group>L1_Political</group>
      <groupName>政治性问题</groupName>
      <ability>L2_Keyword</ability>
      <abilityName>固定表述</abilityName>
      <candidateList>
        <item>城镇开发边界</item>
      </candidateList>
      <explain>词汇“城镇开发边界”在特定场景下为固定表述形式，请确认此处的“城镇开发 边界”是否存在不当。</explain>
      <paraID>40765215</paraID>
      <start>30</start>
      <end>37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e54be70-229e-43e9-bc54-9e4e3fdbe9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834</Words>
  <Characters>871</Characters>
  <TotalTime>2</TotalTime>
  <ScaleCrop>false</ScaleCrop>
  <LinksUpToDate>false</LinksUpToDate>
  <CharactersWithSpaces>895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2026-08-17T11:32:00Z</dcterms:created>
  <dc:creator>Administrator</dc:creator>
  <cp:lastModifiedBy>lzl</cp:lastModifiedBy>
  <dcterms:modified xsi:type="dcterms:W3CDTF">2026-08-17T03:35:33Z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2026-08-17T11:32:56Z</vt:filetime>
  </property>
  <property fmtid="{D5CDD505-2E9C-101B-9397-08002B2CF9AE}" pid="4" name="UsrData">
    <vt:lpwstr>6a8280e6e09dab00202ab178wl</vt:lpwstr>
  </property>
  <property fmtid="{D5CDD505-2E9C-101B-9397-08002B2CF9AE}" pid="5" name="KSOTemplateDocerSaveRecord">
    <vt:lpwstr>eyJoZGlkIjoiMzFmMDkyMjQ0ZjhjNmQ2NjJiNGMyMmIwNDVlZDQ1OTkiLCJ1c2VySWQiOiIyNzI4MTIxODQifQ==</vt:lpwstr>
  </property>
  <property fmtid="{D5CDD505-2E9C-101B-9397-08002B2CF9AE}" pid="6" name="KSOProductBuildVer">
    <vt:lpwstr>2052-12.1.0.28043</vt:lpwstr>
  </property>
  <property fmtid="{D5CDD505-2E9C-101B-9397-08002B2CF9AE}" pid="7" name="ICV">
    <vt:lpwstr>1147D88FA18145C798829AB1B724C67D_12</vt:lpwstr>
  </property>
</Properties>
</file>