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EBC638">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方正小标宋简体" w:hAnsi="方正小标宋简体" w:eastAsia="方正小标宋简体" w:cs="方正小标宋简体"/>
          <w:b w:val="0"/>
          <w:bCs/>
          <w:sz w:val="44"/>
          <w:szCs w:val="44"/>
          <w:highlight w:val="none"/>
          <w:lang w:val="en-US" w:eastAsia="zh-CN"/>
        </w:rPr>
      </w:pPr>
      <w:bookmarkStart w:id="2" w:name="_GoBack"/>
      <w:bookmarkEnd w:id="2"/>
      <w:r>
        <w:rPr>
          <w:rFonts w:hint="eastAsia" w:ascii="方正小标宋简体" w:hAnsi="方正小标宋简体" w:eastAsia="方正小标宋简体" w:cs="方正小标宋简体"/>
          <w:b w:val="0"/>
          <w:bCs/>
          <w:sz w:val="44"/>
          <w:szCs w:val="44"/>
          <w:highlight w:val="none"/>
          <w:lang w:val="en-US" w:eastAsia="zh-CN"/>
        </w:rPr>
        <w:t>揭阳市揭东区征收农用地区片综合地价</w:t>
      </w:r>
    </w:p>
    <w:p w14:paraId="2FF250B7">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default" w:ascii="方正小标宋简体" w:hAnsi="方正小标宋简体" w:eastAsia="方正小标宋简体" w:cs="方正小标宋简体"/>
          <w:b w:val="0"/>
          <w:bCs/>
          <w:sz w:val="44"/>
          <w:szCs w:val="44"/>
          <w:highlight w:val="none"/>
          <w:lang w:val="en-US" w:eastAsia="zh-CN"/>
        </w:rPr>
      </w:pPr>
      <w:r>
        <w:rPr>
          <w:rFonts w:hint="eastAsia" w:ascii="方正小标宋简体" w:hAnsi="方正小标宋简体" w:eastAsia="方正小标宋简体" w:cs="方正小标宋简体"/>
          <w:b w:val="0"/>
          <w:bCs/>
          <w:sz w:val="44"/>
          <w:szCs w:val="44"/>
          <w:highlight w:val="none"/>
          <w:lang w:val="en-US" w:eastAsia="zh-CN"/>
        </w:rPr>
        <w:t>（公开征求意见稿）</w:t>
      </w:r>
    </w:p>
    <w:p w14:paraId="6C5E1369">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firstLine="560" w:firstLineChars="200"/>
        <w:textAlignment w:val="auto"/>
        <w:rPr>
          <w:rFonts w:hint="eastAsia" w:ascii="Times New Roman" w:hAnsi="Times New Roman" w:eastAsia="仿宋" w:cs="Times New Roman"/>
          <w:sz w:val="28"/>
          <w:szCs w:val="36"/>
          <w:highlight w:val="none"/>
        </w:rPr>
      </w:pPr>
    </w:p>
    <w:p w14:paraId="2018669C">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ascii="Times New Roman" w:hAnsi="Times New Roman" w:eastAsia="仿宋" w:cs="Times New Roman"/>
          <w:sz w:val="32"/>
          <w:szCs w:val="40"/>
          <w:highlight w:val="none"/>
        </w:rPr>
      </w:pPr>
      <w:r>
        <w:rPr>
          <w:rFonts w:hint="eastAsia" w:ascii="Times New Roman" w:hAnsi="Times New Roman" w:eastAsia="仿宋" w:cs="Times New Roman"/>
          <w:sz w:val="32"/>
          <w:szCs w:val="40"/>
          <w:highlight w:val="none"/>
        </w:rPr>
        <w:t>《中华人民共和国土地管理法》规定，征收农用地区片综合地价至少每三年调整或者重新公布一次。根据《广东省自然资源厅关于做好区片综合地价调整或重新公布工作的通知》（粤自然资函〔2026〕316号）要求，各地尽快组织所辖县</w:t>
      </w:r>
      <w:r>
        <w:rPr>
          <w:rFonts w:hint="eastAsia" w:ascii="Times New Roman" w:hAnsi="Times New Roman" w:eastAsia="仿宋" w:cs="Times New Roman"/>
          <w:sz w:val="32"/>
          <w:szCs w:val="40"/>
          <w:highlight w:val="none"/>
          <w:lang w:eastAsia="zh-CN"/>
        </w:rPr>
        <w:t>（</w:t>
      </w:r>
      <w:r>
        <w:rPr>
          <w:rFonts w:hint="eastAsia" w:ascii="Times New Roman" w:hAnsi="Times New Roman" w:eastAsia="仿宋" w:cs="Times New Roman"/>
          <w:sz w:val="32"/>
          <w:szCs w:val="40"/>
          <w:highlight w:val="none"/>
        </w:rPr>
        <w:t>市、区</w:t>
      </w:r>
      <w:r>
        <w:rPr>
          <w:rFonts w:hint="eastAsia" w:ascii="Times New Roman" w:hAnsi="Times New Roman" w:eastAsia="仿宋" w:cs="Times New Roman"/>
          <w:sz w:val="32"/>
          <w:szCs w:val="40"/>
          <w:highlight w:val="none"/>
          <w:lang w:eastAsia="zh-CN"/>
        </w:rPr>
        <w:t>）</w:t>
      </w:r>
      <w:r>
        <w:rPr>
          <w:rFonts w:hint="eastAsia" w:ascii="Times New Roman" w:hAnsi="Times New Roman" w:eastAsia="仿宋" w:cs="Times New Roman"/>
          <w:sz w:val="32"/>
          <w:szCs w:val="40"/>
          <w:highlight w:val="none"/>
        </w:rPr>
        <w:t>启动区片综合地价调整或重新公布各项工作。</w:t>
      </w:r>
      <w:r>
        <w:rPr>
          <w:rFonts w:hint="eastAsia" w:ascii="Times New Roman" w:hAnsi="Times New Roman" w:eastAsia="仿宋" w:cs="Times New Roman"/>
          <w:sz w:val="32"/>
          <w:szCs w:val="40"/>
          <w:highlight w:val="none"/>
          <w:lang w:eastAsia="zh-CN"/>
        </w:rPr>
        <w:t>揭阳市揭东区</w:t>
      </w:r>
      <w:r>
        <w:rPr>
          <w:rFonts w:hint="eastAsia" w:ascii="Times New Roman" w:hAnsi="Times New Roman" w:eastAsia="仿宋" w:cs="Times New Roman"/>
          <w:sz w:val="32"/>
          <w:szCs w:val="40"/>
          <w:highlight w:val="none"/>
        </w:rPr>
        <w:t>现行的征收农用地区片综合地价</w:t>
      </w:r>
      <w:r>
        <w:rPr>
          <w:rFonts w:hint="eastAsia" w:ascii="Times New Roman" w:hAnsi="Times New Roman" w:eastAsia="仿宋" w:cs="Times New Roman"/>
          <w:color w:val="auto"/>
          <w:sz w:val="32"/>
          <w:szCs w:val="40"/>
          <w:highlight w:val="none"/>
          <w:lang w:val="en-US" w:eastAsia="zh-CN"/>
        </w:rPr>
        <w:t>是</w:t>
      </w:r>
      <w:r>
        <w:rPr>
          <w:rFonts w:hint="eastAsia" w:ascii="Times New Roman" w:hAnsi="Times New Roman" w:eastAsia="仿宋" w:cs="Times New Roman"/>
          <w:sz w:val="32"/>
          <w:szCs w:val="40"/>
          <w:highlight w:val="none"/>
        </w:rPr>
        <w:t>依据2024年2月</w:t>
      </w:r>
      <w:r>
        <w:rPr>
          <w:rFonts w:hint="eastAsia" w:ascii="Times New Roman" w:hAnsi="Times New Roman" w:eastAsia="仿宋" w:cs="Times New Roman"/>
          <w:sz w:val="32"/>
          <w:szCs w:val="40"/>
          <w:highlight w:val="none"/>
          <w:lang w:val="en-US" w:eastAsia="zh-CN"/>
        </w:rPr>
        <w:t>1</w:t>
      </w:r>
      <w:r>
        <w:rPr>
          <w:rFonts w:hint="eastAsia" w:ascii="Times New Roman" w:hAnsi="Times New Roman" w:eastAsia="仿宋" w:cs="Times New Roman"/>
          <w:sz w:val="32"/>
          <w:szCs w:val="40"/>
          <w:highlight w:val="none"/>
        </w:rPr>
        <w:t>日</w:t>
      </w:r>
      <w:r>
        <w:rPr>
          <w:rFonts w:hint="eastAsia" w:ascii="Times New Roman" w:hAnsi="Times New Roman" w:eastAsia="仿宋" w:cs="Times New Roman"/>
          <w:sz w:val="32"/>
          <w:szCs w:val="40"/>
          <w:highlight w:val="none"/>
          <w:lang w:val="en-US" w:eastAsia="zh-CN"/>
        </w:rPr>
        <w:t>揭阳市</w:t>
      </w:r>
      <w:r>
        <w:rPr>
          <w:rFonts w:hint="eastAsia" w:ascii="Times New Roman" w:hAnsi="Times New Roman" w:eastAsia="仿宋" w:cs="Times New Roman"/>
          <w:sz w:val="32"/>
          <w:szCs w:val="40"/>
          <w:highlight w:val="none"/>
        </w:rPr>
        <w:t>人民政府统一公布实施的征收农用地区片综合地价成果执行，即将届满三年调整周期。</w:t>
      </w:r>
    </w:p>
    <w:p w14:paraId="0E8F89D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Times New Roman" w:hAnsi="Times New Roman" w:eastAsia="仿宋" w:cs="Times New Roman"/>
          <w:color w:val="000000"/>
          <w:kern w:val="0"/>
          <w:sz w:val="32"/>
          <w:szCs w:val="32"/>
          <w:highlight w:val="none"/>
        </w:rPr>
      </w:pPr>
      <w:r>
        <w:rPr>
          <w:rFonts w:hint="eastAsia" w:ascii="Times New Roman" w:hAnsi="Times New Roman" w:eastAsia="仿宋" w:cs="Times New Roman"/>
          <w:sz w:val="32"/>
          <w:szCs w:val="40"/>
          <w:highlight w:val="none"/>
        </w:rPr>
        <w:t>根据前述工作要求，结合近年来</w:t>
      </w:r>
      <w:r>
        <w:rPr>
          <w:rFonts w:hint="eastAsia" w:ascii="Times New Roman" w:hAnsi="Times New Roman" w:eastAsia="仿宋" w:cs="Times New Roman"/>
          <w:sz w:val="32"/>
          <w:szCs w:val="40"/>
          <w:highlight w:val="none"/>
          <w:lang w:eastAsia="zh-CN"/>
        </w:rPr>
        <w:t>揭东区</w:t>
      </w:r>
      <w:r>
        <w:rPr>
          <w:rFonts w:hint="eastAsia" w:ascii="Times New Roman" w:hAnsi="Times New Roman" w:eastAsia="仿宋" w:cs="Times New Roman"/>
          <w:sz w:val="32"/>
          <w:szCs w:val="40"/>
          <w:highlight w:val="none"/>
        </w:rPr>
        <w:t>经济发展水平、人口状况、物价水平、土地供求关系等因素，以及政策实施情况、地方实际诉求开展综合分析，认为</w:t>
      </w:r>
      <w:r>
        <w:rPr>
          <w:rFonts w:hint="eastAsia" w:ascii="Times New Roman" w:hAnsi="Times New Roman" w:eastAsia="仿宋" w:cs="Times New Roman"/>
          <w:sz w:val="32"/>
          <w:szCs w:val="40"/>
          <w:highlight w:val="none"/>
          <w:lang w:eastAsia="zh-CN"/>
        </w:rPr>
        <w:t>揭东区</w:t>
      </w:r>
      <w:r>
        <w:rPr>
          <w:rFonts w:hint="eastAsia" w:ascii="Times New Roman" w:hAnsi="Times New Roman" w:eastAsia="仿宋" w:cs="Times New Roman"/>
          <w:sz w:val="32"/>
          <w:szCs w:val="40"/>
          <w:highlight w:val="none"/>
        </w:rPr>
        <w:t>现行征收农用地区片综合地价总体执行情况平稳。为维护社会和谐稳定，推动县域经济平稳运行，保障现行征收农用地区片综合地价标准的法律效力，决定对</w:t>
      </w:r>
      <w:r>
        <w:rPr>
          <w:rFonts w:hint="eastAsia" w:ascii="Times New Roman" w:hAnsi="Times New Roman" w:eastAsia="仿宋" w:cs="Times New Roman"/>
          <w:sz w:val="32"/>
          <w:szCs w:val="40"/>
          <w:highlight w:val="none"/>
          <w:lang w:eastAsia="zh-CN"/>
        </w:rPr>
        <w:t>揭阳市揭东区</w:t>
      </w:r>
      <w:r>
        <w:rPr>
          <w:rFonts w:hint="eastAsia" w:ascii="Times New Roman" w:hAnsi="Times New Roman" w:eastAsia="仿宋" w:cs="Times New Roman"/>
          <w:sz w:val="32"/>
          <w:szCs w:val="40"/>
          <w:highlight w:val="none"/>
        </w:rPr>
        <w:t>征收农用地区片综合地价标准予以重新公布。主要框架和内容</w:t>
      </w:r>
      <w:r>
        <w:rPr>
          <w:rFonts w:hint="eastAsia" w:ascii="Times New Roman" w:hAnsi="Times New Roman" w:eastAsia="仿宋" w:cs="Times New Roman"/>
          <w:sz w:val="32"/>
          <w:szCs w:val="40"/>
          <w:highlight w:val="none"/>
          <w:lang w:val="en-US" w:eastAsia="zh-CN"/>
        </w:rPr>
        <w:t>如下：</w:t>
      </w:r>
    </w:p>
    <w:p w14:paraId="340F3247">
      <w:pPr>
        <w:keepNext/>
        <w:keepLines w:val="0"/>
        <w:pageBreakBefore w:val="0"/>
        <w:widowControl w:val="0"/>
        <w:kinsoku/>
        <w:wordWrap/>
        <w:overflowPunct/>
        <w:topLinePunct w:val="0"/>
        <w:autoSpaceDE w:val="0"/>
        <w:autoSpaceDN w:val="0"/>
        <w:bidi w:val="0"/>
        <w:adjustRightInd w:val="0"/>
        <w:snapToGrid w:val="0"/>
        <w:spacing w:beforeAutospacing="0" w:afterAutospacing="0" w:line="560" w:lineRule="exact"/>
        <w:ind w:firstLine="0" w:firstLineChars="0"/>
        <w:jc w:val="both"/>
        <w:textAlignment w:val="auto"/>
        <w:rPr>
          <w:rFonts w:hint="eastAsia" w:ascii="仿宋" w:hAnsi="仿宋" w:eastAsia="仿宋" w:cs="仿宋"/>
          <w:b/>
          <w:kern w:val="0"/>
          <w:sz w:val="32"/>
          <w:szCs w:val="32"/>
          <w:highlight w:val="none"/>
          <w:lang w:val="en-US" w:eastAsia="zh-CN"/>
        </w:rPr>
      </w:pPr>
      <w:r>
        <w:rPr>
          <w:rFonts w:hint="eastAsia" w:ascii="仿宋" w:hAnsi="仿宋" w:eastAsia="仿宋" w:cs="仿宋"/>
          <w:b/>
          <w:kern w:val="0"/>
          <w:sz w:val="32"/>
          <w:szCs w:val="32"/>
          <w:highlight w:val="none"/>
          <w:lang w:val="en-US" w:eastAsia="zh-CN"/>
        </w:rPr>
        <w:t>一、明确土地补偿费和安置补助费的比例</w:t>
      </w:r>
    </w:p>
    <w:p w14:paraId="5A3688A8">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ascii="Times New Roman" w:hAnsi="Times New Roman" w:eastAsia="仿宋" w:cs="Times New Roman"/>
          <w:color w:val="000000"/>
          <w:kern w:val="0"/>
          <w:sz w:val="32"/>
          <w:szCs w:val="32"/>
          <w:highlight w:val="none"/>
        </w:rPr>
      </w:pPr>
      <w:r>
        <w:rPr>
          <w:rFonts w:hint="eastAsia" w:ascii="Times New Roman" w:hAnsi="Times New Roman" w:eastAsia="仿宋" w:cs="Times New Roman"/>
          <w:color w:val="000000"/>
          <w:kern w:val="0"/>
          <w:sz w:val="32"/>
          <w:szCs w:val="32"/>
          <w:highlight w:val="none"/>
        </w:rPr>
        <w:t>土地补偿费为区片综合价的40%，安置补助费为区片综合价的60%。</w:t>
      </w:r>
    </w:p>
    <w:p w14:paraId="5160E606">
      <w:pPr>
        <w:keepNext/>
        <w:keepLines w:val="0"/>
        <w:pageBreakBefore w:val="0"/>
        <w:widowControl w:val="0"/>
        <w:kinsoku/>
        <w:wordWrap/>
        <w:overflowPunct/>
        <w:topLinePunct w:val="0"/>
        <w:autoSpaceDE w:val="0"/>
        <w:autoSpaceDN w:val="0"/>
        <w:bidi w:val="0"/>
        <w:adjustRightInd w:val="0"/>
        <w:snapToGrid w:val="0"/>
        <w:spacing w:beforeAutospacing="0" w:afterAutospacing="0" w:line="560" w:lineRule="exact"/>
        <w:ind w:firstLine="0" w:firstLineChars="0"/>
        <w:jc w:val="both"/>
        <w:textAlignment w:val="auto"/>
        <w:rPr>
          <w:rFonts w:hint="eastAsia" w:ascii="仿宋" w:hAnsi="仿宋" w:eastAsia="仿宋" w:cs="仿宋"/>
          <w:b/>
          <w:kern w:val="0"/>
          <w:sz w:val="32"/>
          <w:szCs w:val="32"/>
          <w:highlight w:val="none"/>
          <w:lang w:val="en-US" w:eastAsia="zh-CN"/>
        </w:rPr>
      </w:pPr>
      <w:r>
        <w:rPr>
          <w:rFonts w:hint="eastAsia" w:ascii="仿宋" w:hAnsi="仿宋" w:eastAsia="仿宋" w:cs="仿宋"/>
          <w:b/>
          <w:kern w:val="0"/>
          <w:sz w:val="32"/>
          <w:szCs w:val="32"/>
          <w:highlight w:val="none"/>
          <w:lang w:val="en-US" w:eastAsia="zh-CN"/>
        </w:rPr>
        <w:t>二、划定区片范围</w:t>
      </w:r>
    </w:p>
    <w:p w14:paraId="345820C9">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ascii="Times New Roman" w:hAnsi="Times New Roman" w:eastAsia="仿宋" w:cs="Times New Roman"/>
          <w:color w:val="000000"/>
          <w:kern w:val="0"/>
          <w:sz w:val="32"/>
          <w:szCs w:val="32"/>
          <w:highlight w:val="none"/>
        </w:rPr>
      </w:pPr>
      <w:r>
        <w:rPr>
          <w:rFonts w:hint="eastAsia" w:ascii="Times New Roman" w:hAnsi="Times New Roman" w:eastAsia="仿宋" w:cs="Times New Roman"/>
          <w:color w:val="000000"/>
          <w:kern w:val="0"/>
          <w:sz w:val="32"/>
          <w:szCs w:val="32"/>
          <w:highlight w:val="none"/>
        </w:rPr>
        <w:t>结合</w:t>
      </w:r>
      <w:r>
        <w:rPr>
          <w:rFonts w:hint="eastAsia" w:ascii="Times New Roman" w:hAnsi="Times New Roman" w:eastAsia="仿宋" w:cs="Times New Roman"/>
          <w:color w:val="000000"/>
          <w:kern w:val="0"/>
          <w:sz w:val="32"/>
          <w:szCs w:val="32"/>
          <w:highlight w:val="none"/>
          <w:lang w:val="en-US" w:eastAsia="zh-CN"/>
        </w:rPr>
        <w:t>揭阳市揭东区</w:t>
      </w:r>
      <w:r>
        <w:rPr>
          <w:rFonts w:hint="eastAsia" w:ascii="Times New Roman" w:hAnsi="Times New Roman" w:eastAsia="仿宋" w:cs="Times New Roman"/>
          <w:color w:val="000000"/>
          <w:kern w:val="0"/>
          <w:sz w:val="32"/>
          <w:szCs w:val="32"/>
          <w:highlight w:val="none"/>
        </w:rPr>
        <w:t>实际，全</w:t>
      </w:r>
      <w:r>
        <w:rPr>
          <w:rFonts w:hint="eastAsia" w:ascii="Times New Roman" w:hAnsi="Times New Roman" w:eastAsia="仿宋" w:cs="Times New Roman"/>
          <w:color w:val="000000"/>
          <w:kern w:val="0"/>
          <w:sz w:val="32"/>
          <w:szCs w:val="32"/>
          <w:highlight w:val="none"/>
          <w:lang w:val="en-US" w:eastAsia="zh-CN"/>
        </w:rPr>
        <w:t>区</w:t>
      </w:r>
      <w:r>
        <w:rPr>
          <w:rFonts w:hint="eastAsia" w:ascii="Times New Roman" w:hAnsi="Times New Roman" w:eastAsia="仿宋" w:cs="Times New Roman"/>
          <w:color w:val="000000"/>
          <w:kern w:val="0"/>
          <w:sz w:val="32"/>
          <w:szCs w:val="32"/>
          <w:highlight w:val="none"/>
        </w:rPr>
        <w:t>征地区片划分为三个区片，即第一区片：磐东街道、曲溪街道；第二区片：锡场镇、月城镇、霖磐镇；第三区片：云路镇、玉窖镇、埔田镇、新亨镇、白塔镇、桂岭镇、玉湖镇、龙尾镇。</w:t>
      </w:r>
    </w:p>
    <w:p w14:paraId="1D3699B8">
      <w:pPr>
        <w:keepNext/>
        <w:keepLines w:val="0"/>
        <w:pageBreakBefore w:val="0"/>
        <w:widowControl w:val="0"/>
        <w:kinsoku/>
        <w:wordWrap/>
        <w:overflowPunct/>
        <w:topLinePunct w:val="0"/>
        <w:autoSpaceDE w:val="0"/>
        <w:autoSpaceDN w:val="0"/>
        <w:bidi w:val="0"/>
        <w:adjustRightInd w:val="0"/>
        <w:snapToGrid w:val="0"/>
        <w:spacing w:beforeAutospacing="0" w:afterAutospacing="0" w:line="560" w:lineRule="exact"/>
        <w:ind w:firstLine="0" w:firstLineChars="0"/>
        <w:jc w:val="both"/>
        <w:textAlignment w:val="auto"/>
        <w:rPr>
          <w:rFonts w:hint="eastAsia" w:ascii="仿宋" w:hAnsi="仿宋" w:eastAsia="仿宋" w:cs="仿宋"/>
          <w:b/>
          <w:kern w:val="0"/>
          <w:sz w:val="32"/>
          <w:szCs w:val="32"/>
          <w:highlight w:val="none"/>
          <w:lang w:val="en-US" w:eastAsia="zh-CN"/>
        </w:rPr>
      </w:pPr>
      <w:r>
        <w:rPr>
          <w:rFonts w:hint="eastAsia" w:ascii="仿宋" w:hAnsi="仿宋" w:eastAsia="仿宋" w:cs="仿宋"/>
          <w:b/>
          <w:kern w:val="0"/>
          <w:sz w:val="32"/>
          <w:szCs w:val="32"/>
          <w:highlight w:val="none"/>
          <w:lang w:val="en-US" w:eastAsia="zh-CN"/>
        </w:rPr>
        <w:t>三、确定各区片征地补偿标准</w:t>
      </w:r>
    </w:p>
    <w:p w14:paraId="24AAC02B">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ascii="Times New Roman" w:hAnsi="Times New Roman" w:eastAsia="仿宋" w:cs="Times New Roman"/>
          <w:color w:val="000000"/>
          <w:kern w:val="0"/>
          <w:sz w:val="32"/>
          <w:szCs w:val="32"/>
          <w:highlight w:val="none"/>
        </w:rPr>
      </w:pPr>
      <w:r>
        <w:rPr>
          <w:rFonts w:hint="eastAsia" w:ascii="Times New Roman" w:hAnsi="Times New Roman" w:eastAsia="仿宋" w:cs="Times New Roman"/>
          <w:color w:val="000000"/>
          <w:kern w:val="0"/>
          <w:sz w:val="32"/>
          <w:szCs w:val="32"/>
          <w:highlight w:val="none"/>
        </w:rPr>
        <w:t>第一区片综合地价为</w:t>
      </w:r>
      <w:r>
        <w:rPr>
          <w:rFonts w:hint="eastAsia" w:ascii="Times New Roman" w:hAnsi="Times New Roman" w:eastAsia="仿宋" w:cs="Times New Roman"/>
          <w:color w:val="000000"/>
          <w:kern w:val="0"/>
          <w:sz w:val="32"/>
          <w:szCs w:val="32"/>
          <w:highlight w:val="none"/>
          <w:lang w:val="en-US" w:eastAsia="zh-CN"/>
        </w:rPr>
        <w:t>8</w:t>
      </w:r>
      <w:r>
        <w:rPr>
          <w:rFonts w:hint="eastAsia" w:ascii="Times New Roman" w:hAnsi="Times New Roman" w:eastAsia="仿宋" w:cs="Times New Roman"/>
          <w:color w:val="000000"/>
          <w:kern w:val="0"/>
          <w:sz w:val="32"/>
          <w:szCs w:val="32"/>
          <w:highlight w:val="none"/>
        </w:rPr>
        <w:t>.</w:t>
      </w:r>
      <w:r>
        <w:rPr>
          <w:rFonts w:hint="eastAsia" w:ascii="Times New Roman" w:hAnsi="Times New Roman" w:eastAsia="仿宋" w:cs="Times New Roman"/>
          <w:color w:val="000000"/>
          <w:kern w:val="0"/>
          <w:sz w:val="32"/>
          <w:szCs w:val="32"/>
          <w:highlight w:val="none"/>
          <w:lang w:val="en-US" w:eastAsia="zh-CN"/>
        </w:rPr>
        <w:t>8</w:t>
      </w:r>
      <w:r>
        <w:rPr>
          <w:rFonts w:hint="eastAsia" w:ascii="Times New Roman" w:hAnsi="Times New Roman" w:eastAsia="仿宋" w:cs="Times New Roman"/>
          <w:color w:val="000000"/>
          <w:kern w:val="0"/>
          <w:sz w:val="32"/>
          <w:szCs w:val="32"/>
          <w:highlight w:val="none"/>
        </w:rPr>
        <w:t>0万元/亩，</w:t>
      </w:r>
      <w:r>
        <w:rPr>
          <w:rFonts w:hint="eastAsia" w:ascii="Times New Roman" w:hAnsi="Times New Roman" w:eastAsia="仿宋" w:cs="Times New Roman"/>
          <w:color w:val="000000"/>
          <w:kern w:val="0"/>
          <w:sz w:val="32"/>
          <w:szCs w:val="32"/>
          <w:highlight w:val="none"/>
          <w:lang w:val="en-US" w:eastAsia="zh-CN"/>
        </w:rPr>
        <w:t>其中：</w:t>
      </w:r>
      <w:r>
        <w:rPr>
          <w:rFonts w:hint="eastAsia" w:ascii="Times New Roman" w:hAnsi="Times New Roman" w:eastAsia="仿宋" w:cs="Times New Roman"/>
          <w:color w:val="000000"/>
          <w:kern w:val="0"/>
          <w:sz w:val="32"/>
          <w:szCs w:val="32"/>
          <w:highlight w:val="none"/>
        </w:rPr>
        <w:t>土地补偿费</w:t>
      </w:r>
      <w:r>
        <w:rPr>
          <w:rFonts w:hint="eastAsia" w:ascii="Times New Roman" w:hAnsi="Times New Roman" w:eastAsia="仿宋" w:cs="Times New Roman"/>
          <w:color w:val="000000"/>
          <w:kern w:val="0"/>
          <w:sz w:val="32"/>
          <w:szCs w:val="32"/>
          <w:highlight w:val="none"/>
          <w:lang w:val="en-US" w:eastAsia="zh-CN"/>
        </w:rPr>
        <w:t>3.52</w:t>
      </w:r>
      <w:r>
        <w:rPr>
          <w:rFonts w:hint="eastAsia" w:ascii="Times New Roman" w:hAnsi="Times New Roman" w:eastAsia="仿宋" w:cs="Times New Roman"/>
          <w:color w:val="000000"/>
          <w:kern w:val="0"/>
          <w:sz w:val="32"/>
          <w:szCs w:val="32"/>
          <w:highlight w:val="none"/>
        </w:rPr>
        <w:t>万元/亩，安置补助费</w:t>
      </w:r>
      <w:r>
        <w:rPr>
          <w:rFonts w:hint="eastAsia" w:ascii="Times New Roman" w:hAnsi="Times New Roman" w:eastAsia="仿宋" w:cs="Times New Roman"/>
          <w:color w:val="000000"/>
          <w:kern w:val="0"/>
          <w:sz w:val="32"/>
          <w:szCs w:val="32"/>
          <w:highlight w:val="none"/>
          <w:lang w:val="en-US" w:eastAsia="zh-CN"/>
        </w:rPr>
        <w:t>5.28</w:t>
      </w:r>
      <w:r>
        <w:rPr>
          <w:rFonts w:hint="eastAsia" w:ascii="Times New Roman" w:hAnsi="Times New Roman" w:eastAsia="仿宋" w:cs="Times New Roman"/>
          <w:color w:val="000000"/>
          <w:kern w:val="0"/>
          <w:sz w:val="32"/>
          <w:szCs w:val="32"/>
          <w:highlight w:val="none"/>
        </w:rPr>
        <w:t>万元/亩；第二区片综合地价为</w:t>
      </w:r>
      <w:r>
        <w:rPr>
          <w:rFonts w:hint="eastAsia" w:ascii="Times New Roman" w:hAnsi="Times New Roman" w:eastAsia="仿宋" w:cs="Times New Roman"/>
          <w:color w:val="000000"/>
          <w:kern w:val="0"/>
          <w:sz w:val="32"/>
          <w:szCs w:val="32"/>
          <w:highlight w:val="none"/>
          <w:lang w:val="en-US" w:eastAsia="zh-CN"/>
        </w:rPr>
        <w:t>8.00</w:t>
      </w:r>
      <w:r>
        <w:rPr>
          <w:rFonts w:hint="eastAsia" w:ascii="Times New Roman" w:hAnsi="Times New Roman" w:eastAsia="仿宋" w:cs="Times New Roman"/>
          <w:color w:val="000000"/>
          <w:kern w:val="0"/>
          <w:sz w:val="32"/>
          <w:szCs w:val="32"/>
          <w:highlight w:val="none"/>
        </w:rPr>
        <w:t>万元/亩，</w:t>
      </w:r>
      <w:r>
        <w:rPr>
          <w:rFonts w:hint="eastAsia" w:ascii="Times New Roman" w:hAnsi="Times New Roman" w:eastAsia="仿宋" w:cs="Times New Roman"/>
          <w:color w:val="000000"/>
          <w:kern w:val="0"/>
          <w:sz w:val="32"/>
          <w:szCs w:val="32"/>
          <w:highlight w:val="none"/>
          <w:lang w:val="en-US" w:eastAsia="zh-CN"/>
        </w:rPr>
        <w:t>其中：</w:t>
      </w:r>
      <w:r>
        <w:rPr>
          <w:rFonts w:hint="eastAsia" w:ascii="Times New Roman" w:hAnsi="Times New Roman" w:eastAsia="仿宋" w:cs="Times New Roman"/>
          <w:color w:val="000000"/>
          <w:kern w:val="0"/>
          <w:sz w:val="32"/>
          <w:szCs w:val="32"/>
          <w:highlight w:val="none"/>
        </w:rPr>
        <w:t>土地补偿费</w:t>
      </w:r>
      <w:r>
        <w:rPr>
          <w:rFonts w:hint="eastAsia" w:ascii="Times New Roman" w:hAnsi="Times New Roman" w:eastAsia="仿宋" w:cs="Times New Roman"/>
          <w:color w:val="000000"/>
          <w:kern w:val="0"/>
          <w:sz w:val="32"/>
          <w:szCs w:val="32"/>
          <w:highlight w:val="none"/>
          <w:lang w:val="en-US" w:eastAsia="zh-CN"/>
        </w:rPr>
        <w:t>3.20</w:t>
      </w:r>
      <w:r>
        <w:rPr>
          <w:rFonts w:hint="eastAsia" w:ascii="Times New Roman" w:hAnsi="Times New Roman" w:eastAsia="仿宋" w:cs="Times New Roman"/>
          <w:color w:val="000000"/>
          <w:kern w:val="0"/>
          <w:sz w:val="32"/>
          <w:szCs w:val="32"/>
          <w:highlight w:val="none"/>
        </w:rPr>
        <w:t>万元/亩，安置补助费</w:t>
      </w:r>
      <w:r>
        <w:rPr>
          <w:rFonts w:hint="eastAsia" w:ascii="Times New Roman" w:hAnsi="Times New Roman" w:eastAsia="仿宋" w:cs="Times New Roman"/>
          <w:color w:val="000000"/>
          <w:kern w:val="0"/>
          <w:sz w:val="32"/>
          <w:szCs w:val="32"/>
          <w:highlight w:val="none"/>
          <w:lang w:val="en-US" w:eastAsia="zh-CN"/>
        </w:rPr>
        <w:t>4.80</w:t>
      </w:r>
      <w:r>
        <w:rPr>
          <w:rFonts w:hint="eastAsia" w:ascii="Times New Roman" w:hAnsi="Times New Roman" w:eastAsia="仿宋" w:cs="Times New Roman"/>
          <w:color w:val="000000"/>
          <w:kern w:val="0"/>
          <w:sz w:val="32"/>
          <w:szCs w:val="32"/>
          <w:highlight w:val="none"/>
        </w:rPr>
        <w:t>万元/亩；第三区片综合地价为</w:t>
      </w:r>
      <w:r>
        <w:rPr>
          <w:rFonts w:hint="eastAsia" w:ascii="Times New Roman" w:hAnsi="Times New Roman" w:eastAsia="仿宋" w:cs="Times New Roman"/>
          <w:color w:val="000000"/>
          <w:kern w:val="0"/>
          <w:sz w:val="32"/>
          <w:szCs w:val="32"/>
          <w:highlight w:val="none"/>
          <w:lang w:val="en-US" w:eastAsia="zh-CN"/>
        </w:rPr>
        <w:t>7</w:t>
      </w:r>
      <w:r>
        <w:rPr>
          <w:rFonts w:hint="eastAsia" w:ascii="Times New Roman" w:hAnsi="Times New Roman" w:eastAsia="仿宋" w:cs="Times New Roman"/>
          <w:color w:val="000000"/>
          <w:kern w:val="0"/>
          <w:sz w:val="32"/>
          <w:szCs w:val="32"/>
          <w:highlight w:val="none"/>
        </w:rPr>
        <w:t>.0</w:t>
      </w:r>
      <w:r>
        <w:rPr>
          <w:rFonts w:hint="eastAsia" w:ascii="Times New Roman" w:hAnsi="Times New Roman" w:eastAsia="仿宋" w:cs="Times New Roman"/>
          <w:color w:val="000000"/>
          <w:kern w:val="0"/>
          <w:sz w:val="32"/>
          <w:szCs w:val="32"/>
          <w:highlight w:val="none"/>
          <w:lang w:val="en-US" w:eastAsia="zh-CN"/>
        </w:rPr>
        <w:t>0</w:t>
      </w:r>
      <w:r>
        <w:rPr>
          <w:rFonts w:hint="eastAsia" w:ascii="Times New Roman" w:hAnsi="Times New Roman" w:eastAsia="仿宋" w:cs="Times New Roman"/>
          <w:color w:val="000000"/>
          <w:kern w:val="0"/>
          <w:sz w:val="32"/>
          <w:szCs w:val="32"/>
          <w:highlight w:val="none"/>
        </w:rPr>
        <w:t>万元/亩，</w:t>
      </w:r>
      <w:r>
        <w:rPr>
          <w:rFonts w:hint="eastAsia" w:ascii="Times New Roman" w:hAnsi="Times New Roman" w:eastAsia="仿宋" w:cs="Times New Roman"/>
          <w:color w:val="000000"/>
          <w:kern w:val="0"/>
          <w:sz w:val="32"/>
          <w:szCs w:val="32"/>
          <w:highlight w:val="none"/>
          <w:lang w:val="en-US" w:eastAsia="zh-CN"/>
        </w:rPr>
        <w:t>其中：</w:t>
      </w:r>
      <w:r>
        <w:rPr>
          <w:rFonts w:hint="eastAsia" w:ascii="Times New Roman" w:hAnsi="Times New Roman" w:eastAsia="仿宋" w:cs="Times New Roman"/>
          <w:color w:val="000000"/>
          <w:kern w:val="0"/>
          <w:sz w:val="32"/>
          <w:szCs w:val="32"/>
          <w:highlight w:val="none"/>
        </w:rPr>
        <w:t>土地补偿费</w:t>
      </w:r>
      <w:r>
        <w:rPr>
          <w:rFonts w:hint="eastAsia" w:ascii="Times New Roman" w:hAnsi="Times New Roman" w:eastAsia="仿宋" w:cs="Times New Roman"/>
          <w:color w:val="000000"/>
          <w:kern w:val="0"/>
          <w:sz w:val="32"/>
          <w:szCs w:val="32"/>
          <w:highlight w:val="none"/>
          <w:lang w:val="en-US" w:eastAsia="zh-CN"/>
        </w:rPr>
        <w:t>2.80</w:t>
      </w:r>
      <w:r>
        <w:rPr>
          <w:rFonts w:hint="eastAsia" w:ascii="Times New Roman" w:hAnsi="Times New Roman" w:eastAsia="仿宋" w:cs="Times New Roman"/>
          <w:color w:val="000000"/>
          <w:kern w:val="0"/>
          <w:sz w:val="32"/>
          <w:szCs w:val="32"/>
          <w:highlight w:val="none"/>
        </w:rPr>
        <w:t>万元/亩，安置补助费</w:t>
      </w:r>
      <w:r>
        <w:rPr>
          <w:rFonts w:hint="eastAsia" w:ascii="Times New Roman" w:hAnsi="Times New Roman" w:eastAsia="仿宋" w:cs="Times New Roman"/>
          <w:color w:val="000000"/>
          <w:kern w:val="0"/>
          <w:sz w:val="32"/>
          <w:szCs w:val="32"/>
          <w:highlight w:val="none"/>
          <w:lang w:val="en-US" w:eastAsia="zh-CN"/>
        </w:rPr>
        <w:t>4.20</w:t>
      </w:r>
      <w:r>
        <w:rPr>
          <w:rFonts w:hint="eastAsia" w:ascii="Times New Roman" w:hAnsi="Times New Roman" w:eastAsia="仿宋" w:cs="Times New Roman"/>
          <w:color w:val="000000"/>
          <w:kern w:val="0"/>
          <w:sz w:val="32"/>
          <w:szCs w:val="32"/>
          <w:highlight w:val="none"/>
        </w:rPr>
        <w:t>万元/亩。</w:t>
      </w:r>
    </w:p>
    <w:p w14:paraId="1A8CE964">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Times New Roman" w:hAnsi="Times New Roman" w:eastAsia="仿宋" w:cs="Times New Roman"/>
          <w:color w:val="000000"/>
          <w:kern w:val="0"/>
          <w:sz w:val="32"/>
          <w:szCs w:val="32"/>
          <w:highlight w:val="none"/>
        </w:rPr>
      </w:pPr>
      <w:r>
        <w:rPr>
          <w:rFonts w:hint="eastAsia" w:ascii="Times New Roman" w:hAnsi="Times New Roman" w:eastAsia="仿宋" w:cs="Times New Roman"/>
          <w:color w:val="000000"/>
          <w:kern w:val="0"/>
          <w:sz w:val="32"/>
          <w:szCs w:val="32"/>
          <w:highlight w:val="none"/>
        </w:rPr>
        <w:t>调节系数说明：</w:t>
      </w:r>
      <w:r>
        <w:rPr>
          <w:rFonts w:hint="eastAsia" w:ascii="Times New Roman" w:hAnsi="Times New Roman" w:eastAsia="仿宋" w:cs="Times New Roman"/>
          <w:color w:val="000000"/>
          <w:kern w:val="0"/>
          <w:sz w:val="32"/>
          <w:szCs w:val="32"/>
          <w:highlight w:val="none"/>
          <w:lang w:eastAsia="zh-CN"/>
        </w:rPr>
        <w:t>揭阳市揭东区</w:t>
      </w:r>
      <w:r>
        <w:rPr>
          <w:rFonts w:hint="eastAsia" w:ascii="Times New Roman" w:hAnsi="Times New Roman" w:eastAsia="仿宋" w:cs="Times New Roman"/>
          <w:color w:val="000000"/>
          <w:kern w:val="0"/>
          <w:sz w:val="32"/>
          <w:szCs w:val="32"/>
          <w:highlight w:val="none"/>
        </w:rPr>
        <w:t>征收农用地区片综合地价不设定地类调节系数；</w:t>
      </w:r>
      <w:r>
        <w:rPr>
          <w:rFonts w:hint="eastAsia" w:ascii="Times New Roman" w:hAnsi="Times New Roman" w:eastAsia="仿宋" w:cs="Times New Roman"/>
          <w:color w:val="000000"/>
          <w:kern w:val="0"/>
          <w:sz w:val="32"/>
          <w:szCs w:val="32"/>
          <w:highlight w:val="none"/>
          <w:lang w:eastAsia="zh-CN"/>
        </w:rPr>
        <w:t>揭阳市揭东区</w:t>
      </w:r>
      <w:r>
        <w:rPr>
          <w:rFonts w:hint="eastAsia" w:ascii="Times New Roman" w:hAnsi="Times New Roman" w:eastAsia="仿宋" w:cs="Times New Roman"/>
          <w:color w:val="000000"/>
          <w:kern w:val="0"/>
          <w:sz w:val="32"/>
          <w:szCs w:val="32"/>
          <w:highlight w:val="none"/>
        </w:rPr>
        <w:t>征收建设用地和未利用地的补偿标准参照征收农用地区片综合地价执行，调节系数均为1。</w:t>
      </w:r>
    </w:p>
    <w:p w14:paraId="6ED8B811">
      <w:pPr>
        <w:keepNext/>
        <w:keepLines w:val="0"/>
        <w:pageBreakBefore w:val="0"/>
        <w:widowControl w:val="0"/>
        <w:kinsoku/>
        <w:wordWrap/>
        <w:overflowPunct/>
        <w:topLinePunct w:val="0"/>
        <w:autoSpaceDE w:val="0"/>
        <w:autoSpaceDN w:val="0"/>
        <w:bidi w:val="0"/>
        <w:adjustRightInd w:val="0"/>
        <w:snapToGrid w:val="0"/>
        <w:spacing w:beforeAutospacing="0" w:afterAutospacing="0" w:line="560" w:lineRule="exact"/>
        <w:ind w:firstLine="0" w:firstLineChars="0"/>
        <w:jc w:val="both"/>
        <w:textAlignment w:val="auto"/>
        <w:rPr>
          <w:rFonts w:hint="eastAsia" w:ascii="仿宋" w:hAnsi="仿宋" w:eastAsia="仿宋" w:cs="仿宋"/>
          <w:b/>
          <w:kern w:val="0"/>
          <w:sz w:val="32"/>
          <w:szCs w:val="32"/>
          <w:highlight w:val="none"/>
        </w:rPr>
      </w:pPr>
      <w:r>
        <w:rPr>
          <w:rFonts w:hint="eastAsia" w:ascii="仿宋" w:hAnsi="仿宋" w:eastAsia="仿宋" w:cs="仿宋"/>
          <w:b/>
          <w:kern w:val="0"/>
          <w:sz w:val="32"/>
          <w:szCs w:val="32"/>
          <w:highlight w:val="none"/>
          <w:lang w:val="en-US" w:eastAsia="zh-CN"/>
        </w:rPr>
        <w:t>四、</w:t>
      </w:r>
      <w:r>
        <w:rPr>
          <w:rFonts w:hint="eastAsia" w:ascii="仿宋" w:hAnsi="仿宋" w:eastAsia="仿宋" w:cs="仿宋"/>
          <w:b/>
          <w:kern w:val="0"/>
          <w:sz w:val="32"/>
          <w:szCs w:val="32"/>
          <w:highlight w:val="none"/>
        </w:rPr>
        <w:t>适用范围</w:t>
      </w:r>
    </w:p>
    <w:p w14:paraId="20305C58">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Times New Roman" w:hAnsi="Times New Roman" w:eastAsia="仿宋" w:cs="Times New Roman"/>
          <w:color w:val="000000"/>
          <w:kern w:val="0"/>
          <w:sz w:val="32"/>
          <w:szCs w:val="32"/>
          <w:highlight w:val="none"/>
        </w:rPr>
        <w:sectPr>
          <w:footerReference r:id="rId3" w:type="default"/>
          <w:pgSz w:w="11906" w:h="16838"/>
          <w:pgMar w:top="1440" w:right="1633" w:bottom="1440" w:left="1633" w:header="851" w:footer="992" w:gutter="0"/>
          <w:pgBorders w:offsetFrom="page">
            <w:top w:val="none" w:sz="0" w:space="0"/>
            <w:left w:val="none" w:sz="0" w:space="0"/>
            <w:bottom w:val="none" w:sz="0" w:space="0"/>
            <w:right w:val="none" w:sz="0" w:space="0"/>
          </w:pgBorders>
          <w:cols w:space="425" w:num="1"/>
          <w:docGrid w:type="lines" w:linePitch="312" w:charSpace="0"/>
        </w:sectPr>
      </w:pPr>
      <w:r>
        <w:rPr>
          <w:rFonts w:hint="eastAsia" w:ascii="Times New Roman" w:hAnsi="Times New Roman" w:eastAsia="仿宋" w:cs="Times New Roman"/>
          <w:color w:val="000000"/>
          <w:kern w:val="0"/>
          <w:sz w:val="32"/>
          <w:szCs w:val="32"/>
          <w:highlight w:val="none"/>
        </w:rPr>
        <w:t>本文件适用于</w:t>
      </w:r>
      <w:r>
        <w:rPr>
          <w:rFonts w:hint="eastAsia" w:ascii="Times New Roman" w:hAnsi="Times New Roman" w:eastAsia="仿宋" w:cs="Times New Roman"/>
          <w:color w:val="000000"/>
          <w:kern w:val="0"/>
          <w:sz w:val="32"/>
          <w:szCs w:val="32"/>
          <w:highlight w:val="none"/>
          <w:lang w:val="en-US" w:eastAsia="zh-CN"/>
        </w:rPr>
        <w:t>揭阳市揭东区</w:t>
      </w:r>
      <w:r>
        <w:rPr>
          <w:rFonts w:hint="eastAsia" w:ascii="Times New Roman" w:hAnsi="Times New Roman" w:eastAsia="仿宋" w:cs="Times New Roman"/>
          <w:color w:val="000000"/>
          <w:kern w:val="0"/>
          <w:sz w:val="32"/>
          <w:szCs w:val="32"/>
          <w:highlight w:val="none"/>
        </w:rPr>
        <w:t>行政区域内的农用地征收。</w:t>
      </w:r>
    </w:p>
    <w:tbl>
      <w:tblPr>
        <w:tblStyle w:val="7"/>
        <w:tblW w:w="14549"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11"/>
        <w:gridCol w:w="743"/>
        <w:gridCol w:w="842"/>
        <w:gridCol w:w="1429"/>
        <w:gridCol w:w="800"/>
        <w:gridCol w:w="1457"/>
        <w:gridCol w:w="857"/>
        <w:gridCol w:w="7410"/>
      </w:tblGrid>
      <w:tr w14:paraId="245E2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4549" w:type="dxa"/>
            <w:gridSpan w:val="8"/>
            <w:tcBorders>
              <w:top w:val="nil"/>
              <w:left w:val="nil"/>
              <w:bottom w:val="nil"/>
              <w:right w:val="nil"/>
            </w:tcBorders>
            <w:shd w:val="clear" w:color="auto" w:fill="auto"/>
            <w:noWrap/>
            <w:vAlign w:val="center"/>
          </w:tcPr>
          <w:p w14:paraId="796BDEA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Times New Roman" w:hAnsi="Times New Roman" w:eastAsia="仿宋" w:cs="Times New Roman"/>
                <w:b/>
                <w:bCs/>
                <w:i w:val="0"/>
                <w:iCs w:val="0"/>
                <w:color w:val="000000"/>
                <w:sz w:val="24"/>
                <w:szCs w:val="24"/>
                <w:highlight w:val="none"/>
                <w:u w:val="none"/>
              </w:rPr>
            </w:pPr>
            <w:r>
              <w:rPr>
                <w:rFonts w:hint="eastAsia" w:ascii="Times New Roman" w:hAnsi="Times New Roman" w:eastAsia="仿宋" w:cs="Times New Roman"/>
                <w:b/>
                <w:bCs/>
                <w:i w:val="0"/>
                <w:iCs w:val="0"/>
                <w:color w:val="000000"/>
                <w:kern w:val="0"/>
                <w:sz w:val="24"/>
                <w:szCs w:val="24"/>
                <w:highlight w:val="none"/>
                <w:u w:val="none"/>
                <w:lang w:val="en-US" w:eastAsia="zh-CN" w:bidi="ar"/>
              </w:rPr>
              <w:t>表1揭阳市揭东区征收农用地区片综合地价表</w:t>
            </w:r>
          </w:p>
        </w:tc>
      </w:tr>
      <w:tr w14:paraId="4A60D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011" w:type="dxa"/>
            <w:vMerge w:val="restart"/>
            <w:tcBorders>
              <w:top w:val="single" w:color="000000" w:sz="8" w:space="0"/>
              <w:left w:val="single" w:color="000000" w:sz="8" w:space="0"/>
              <w:bottom w:val="single" w:color="000000" w:sz="4" w:space="0"/>
              <w:right w:val="single" w:color="000000" w:sz="4" w:space="0"/>
            </w:tcBorders>
            <w:shd w:val="clear" w:color="auto" w:fill="auto"/>
            <w:noWrap/>
            <w:vAlign w:val="center"/>
          </w:tcPr>
          <w:p w14:paraId="6BA2C0E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Times New Roman" w:hAnsi="Times New Roman" w:eastAsia="仿宋" w:cs="Times New Roman"/>
                <w:b/>
                <w:bCs/>
                <w:i w:val="0"/>
                <w:iCs w:val="0"/>
                <w:color w:val="000000"/>
                <w:kern w:val="0"/>
                <w:sz w:val="24"/>
                <w:szCs w:val="24"/>
                <w:highlight w:val="none"/>
                <w:u w:val="none"/>
                <w:lang w:val="en-US" w:eastAsia="zh-CN" w:bidi="ar"/>
              </w:rPr>
            </w:pPr>
            <w:r>
              <w:rPr>
                <w:rFonts w:hint="eastAsia" w:ascii="Times New Roman" w:hAnsi="Times New Roman" w:eastAsia="仿宋" w:cs="Times New Roman"/>
                <w:b/>
                <w:bCs/>
                <w:i w:val="0"/>
                <w:iCs w:val="0"/>
                <w:color w:val="000000"/>
                <w:kern w:val="0"/>
                <w:sz w:val="24"/>
                <w:szCs w:val="24"/>
                <w:highlight w:val="none"/>
                <w:u w:val="none"/>
                <w:lang w:val="en-US" w:eastAsia="zh-CN" w:bidi="ar"/>
              </w:rPr>
              <w:t>行政</w:t>
            </w:r>
          </w:p>
          <w:p w14:paraId="17F4515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Times New Roman" w:hAnsi="Times New Roman" w:eastAsia="仿宋" w:cs="Times New Roman"/>
                <w:b/>
                <w:bCs/>
                <w:i w:val="0"/>
                <w:iCs w:val="0"/>
                <w:color w:val="000000"/>
                <w:sz w:val="24"/>
                <w:szCs w:val="24"/>
                <w:highlight w:val="none"/>
                <w:u w:val="none"/>
              </w:rPr>
            </w:pPr>
            <w:r>
              <w:rPr>
                <w:rFonts w:hint="eastAsia" w:ascii="Times New Roman" w:hAnsi="Times New Roman" w:eastAsia="仿宋" w:cs="Times New Roman"/>
                <w:b/>
                <w:bCs/>
                <w:i w:val="0"/>
                <w:iCs w:val="0"/>
                <w:color w:val="000000"/>
                <w:kern w:val="0"/>
                <w:sz w:val="24"/>
                <w:szCs w:val="24"/>
                <w:highlight w:val="none"/>
                <w:u w:val="none"/>
                <w:lang w:val="en-US" w:eastAsia="zh-CN" w:bidi="ar"/>
              </w:rPr>
              <w:t>区域</w:t>
            </w:r>
          </w:p>
        </w:tc>
        <w:tc>
          <w:tcPr>
            <w:tcW w:w="743" w:type="dxa"/>
            <w:vMerge w:val="restart"/>
            <w:tcBorders>
              <w:top w:val="single" w:color="000000" w:sz="8" w:space="0"/>
              <w:left w:val="single" w:color="000000" w:sz="4" w:space="0"/>
              <w:bottom w:val="single" w:color="000000" w:sz="4" w:space="0"/>
              <w:right w:val="single" w:color="000000" w:sz="4" w:space="0"/>
            </w:tcBorders>
            <w:shd w:val="clear" w:color="auto" w:fill="auto"/>
            <w:noWrap/>
            <w:vAlign w:val="center"/>
          </w:tcPr>
          <w:p w14:paraId="75C29D4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Times New Roman" w:hAnsi="Times New Roman" w:eastAsia="仿宋" w:cs="Times New Roman"/>
                <w:b/>
                <w:bCs/>
                <w:i w:val="0"/>
                <w:iCs w:val="0"/>
                <w:color w:val="000000"/>
                <w:sz w:val="24"/>
                <w:szCs w:val="24"/>
                <w:highlight w:val="none"/>
                <w:u w:val="none"/>
              </w:rPr>
            </w:pPr>
            <w:r>
              <w:rPr>
                <w:rFonts w:hint="eastAsia" w:ascii="Times New Roman" w:hAnsi="Times New Roman" w:eastAsia="仿宋" w:cs="Times New Roman"/>
                <w:b/>
                <w:bCs/>
                <w:i w:val="0"/>
                <w:iCs w:val="0"/>
                <w:color w:val="000000"/>
                <w:kern w:val="0"/>
                <w:sz w:val="24"/>
                <w:szCs w:val="24"/>
                <w:highlight w:val="none"/>
                <w:u w:val="none"/>
                <w:lang w:val="en-US" w:eastAsia="zh-CN" w:bidi="ar"/>
              </w:rPr>
              <w:t>区片编号</w:t>
            </w:r>
          </w:p>
        </w:tc>
        <w:tc>
          <w:tcPr>
            <w:tcW w:w="5385" w:type="dxa"/>
            <w:gridSpan w:val="5"/>
            <w:tcBorders>
              <w:top w:val="single" w:color="000000" w:sz="8" w:space="0"/>
              <w:left w:val="single" w:color="000000" w:sz="4" w:space="0"/>
              <w:bottom w:val="single" w:color="000000" w:sz="4" w:space="0"/>
              <w:right w:val="single" w:color="000000" w:sz="4" w:space="0"/>
            </w:tcBorders>
            <w:shd w:val="clear" w:color="auto" w:fill="auto"/>
            <w:noWrap/>
            <w:vAlign w:val="center"/>
          </w:tcPr>
          <w:p w14:paraId="6ED9CC9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Times New Roman" w:hAnsi="Times New Roman" w:eastAsia="仿宋" w:cs="Times New Roman"/>
                <w:b/>
                <w:bCs/>
                <w:i w:val="0"/>
                <w:iCs w:val="0"/>
                <w:color w:val="000000"/>
                <w:sz w:val="24"/>
                <w:szCs w:val="24"/>
                <w:highlight w:val="none"/>
                <w:u w:val="none"/>
              </w:rPr>
            </w:pPr>
            <w:r>
              <w:rPr>
                <w:rFonts w:hint="eastAsia" w:ascii="Times New Roman" w:hAnsi="Times New Roman" w:eastAsia="仿宋" w:cs="Times New Roman"/>
                <w:b/>
                <w:bCs/>
                <w:i w:val="0"/>
                <w:iCs w:val="0"/>
                <w:color w:val="000000"/>
                <w:kern w:val="0"/>
                <w:sz w:val="24"/>
                <w:szCs w:val="24"/>
                <w:highlight w:val="none"/>
                <w:u w:val="none"/>
                <w:lang w:val="en-US" w:eastAsia="zh-CN" w:bidi="ar"/>
              </w:rPr>
              <w:t>区片综合地价（万元/亩）</w:t>
            </w:r>
          </w:p>
        </w:tc>
        <w:tc>
          <w:tcPr>
            <w:tcW w:w="7410" w:type="dxa"/>
            <w:vMerge w:val="restart"/>
            <w:tcBorders>
              <w:top w:val="single" w:color="000000" w:sz="8" w:space="0"/>
              <w:left w:val="single" w:color="000000" w:sz="4" w:space="0"/>
              <w:bottom w:val="single" w:color="000000" w:sz="4" w:space="0"/>
              <w:right w:val="single" w:color="000000" w:sz="8" w:space="0"/>
            </w:tcBorders>
            <w:shd w:val="clear" w:color="auto" w:fill="auto"/>
            <w:vAlign w:val="center"/>
          </w:tcPr>
          <w:p w14:paraId="13A12A8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Times New Roman" w:hAnsi="Times New Roman" w:eastAsia="仿宋" w:cs="Times New Roman"/>
                <w:i w:val="0"/>
                <w:iCs w:val="0"/>
                <w:color w:val="000000"/>
                <w:sz w:val="24"/>
                <w:szCs w:val="24"/>
                <w:highlight w:val="none"/>
                <w:u w:val="none"/>
              </w:rPr>
            </w:pPr>
            <w:r>
              <w:rPr>
                <w:rFonts w:hint="eastAsia" w:ascii="Times New Roman" w:hAnsi="Times New Roman" w:eastAsia="仿宋" w:cs="Times New Roman"/>
                <w:b/>
                <w:bCs/>
                <w:i w:val="0"/>
                <w:iCs w:val="0"/>
                <w:color w:val="000000"/>
                <w:kern w:val="0"/>
                <w:sz w:val="24"/>
                <w:szCs w:val="24"/>
                <w:highlight w:val="none"/>
                <w:u w:val="none"/>
                <w:lang w:val="en-US" w:eastAsia="zh-CN" w:bidi="ar"/>
              </w:rPr>
              <w:t>区片范围描述</w:t>
            </w:r>
          </w:p>
        </w:tc>
      </w:tr>
      <w:tr w14:paraId="74880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1011" w:type="dxa"/>
            <w:vMerge w:val="continue"/>
            <w:tcBorders>
              <w:top w:val="single" w:color="000000" w:sz="8" w:space="0"/>
              <w:left w:val="single" w:color="000000" w:sz="8" w:space="0"/>
              <w:bottom w:val="single" w:color="000000" w:sz="4" w:space="0"/>
              <w:right w:val="single" w:color="000000" w:sz="4" w:space="0"/>
            </w:tcBorders>
            <w:shd w:val="clear" w:color="auto" w:fill="auto"/>
            <w:noWrap/>
            <w:vAlign w:val="center"/>
          </w:tcPr>
          <w:p w14:paraId="1B898D47">
            <w:pPr>
              <w:keepNext w:val="0"/>
              <w:keepLines w:val="0"/>
              <w:pageBreakBefore w:val="0"/>
              <w:widowControl w:val="0"/>
              <w:kinsoku/>
              <w:wordWrap/>
              <w:overflowPunct/>
              <w:topLinePunct w:val="0"/>
              <w:autoSpaceDE/>
              <w:autoSpaceDN/>
              <w:bidi w:val="0"/>
              <w:adjustRightInd/>
              <w:snapToGrid/>
              <w:jc w:val="center"/>
              <w:rPr>
                <w:rFonts w:hint="eastAsia" w:ascii="Times New Roman" w:hAnsi="Times New Roman" w:eastAsia="仿宋" w:cs="Times New Roman"/>
                <w:b/>
                <w:bCs/>
                <w:i w:val="0"/>
                <w:iCs w:val="0"/>
                <w:color w:val="000000"/>
                <w:sz w:val="24"/>
                <w:szCs w:val="24"/>
                <w:highlight w:val="none"/>
                <w:u w:val="none"/>
              </w:rPr>
            </w:pPr>
          </w:p>
        </w:tc>
        <w:tc>
          <w:tcPr>
            <w:tcW w:w="743" w:type="dxa"/>
            <w:vMerge w:val="continue"/>
            <w:tcBorders>
              <w:top w:val="single" w:color="000000" w:sz="8" w:space="0"/>
              <w:left w:val="single" w:color="000000" w:sz="4" w:space="0"/>
              <w:bottom w:val="single" w:color="000000" w:sz="4" w:space="0"/>
              <w:right w:val="single" w:color="000000" w:sz="4" w:space="0"/>
            </w:tcBorders>
            <w:shd w:val="clear" w:color="auto" w:fill="auto"/>
            <w:noWrap/>
            <w:vAlign w:val="center"/>
          </w:tcPr>
          <w:p w14:paraId="3E567E9B">
            <w:pPr>
              <w:keepNext w:val="0"/>
              <w:keepLines w:val="0"/>
              <w:pageBreakBefore w:val="0"/>
              <w:widowControl w:val="0"/>
              <w:kinsoku/>
              <w:wordWrap/>
              <w:overflowPunct/>
              <w:topLinePunct w:val="0"/>
              <w:autoSpaceDE/>
              <w:autoSpaceDN/>
              <w:bidi w:val="0"/>
              <w:adjustRightInd/>
              <w:snapToGrid/>
              <w:jc w:val="center"/>
              <w:rPr>
                <w:rFonts w:hint="eastAsia" w:ascii="Times New Roman" w:hAnsi="Times New Roman" w:eastAsia="仿宋" w:cs="Times New Roman"/>
                <w:b/>
                <w:bCs/>
                <w:i w:val="0"/>
                <w:iCs w:val="0"/>
                <w:color w:val="000000"/>
                <w:sz w:val="24"/>
                <w:szCs w:val="24"/>
                <w:highlight w:val="none"/>
                <w:u w:val="none"/>
              </w:rPr>
            </w:pP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753C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Times New Roman" w:hAnsi="Times New Roman" w:eastAsia="仿宋" w:cs="Times New Roman"/>
                <w:b/>
                <w:bCs/>
                <w:i w:val="0"/>
                <w:iCs w:val="0"/>
                <w:color w:val="000000"/>
                <w:sz w:val="24"/>
                <w:szCs w:val="24"/>
                <w:highlight w:val="none"/>
                <w:u w:val="none"/>
              </w:rPr>
            </w:pPr>
            <w:r>
              <w:rPr>
                <w:rFonts w:hint="eastAsia" w:ascii="Times New Roman" w:hAnsi="Times New Roman" w:eastAsia="仿宋" w:cs="Times New Roman"/>
                <w:b/>
                <w:bCs/>
                <w:i w:val="0"/>
                <w:iCs w:val="0"/>
                <w:color w:val="000000"/>
                <w:kern w:val="0"/>
                <w:sz w:val="24"/>
                <w:szCs w:val="24"/>
                <w:highlight w:val="none"/>
                <w:u w:val="none"/>
                <w:lang w:val="en-US" w:eastAsia="zh-CN" w:bidi="ar"/>
              </w:rPr>
              <w:t>合计</w:t>
            </w:r>
          </w:p>
        </w:tc>
        <w:tc>
          <w:tcPr>
            <w:tcW w:w="1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C78F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Times New Roman" w:hAnsi="Times New Roman" w:eastAsia="仿宋" w:cs="Times New Roman"/>
                <w:b/>
                <w:bCs/>
                <w:i w:val="0"/>
                <w:iCs w:val="0"/>
                <w:color w:val="000000"/>
                <w:sz w:val="24"/>
                <w:szCs w:val="24"/>
                <w:highlight w:val="none"/>
                <w:u w:val="none"/>
              </w:rPr>
            </w:pPr>
            <w:r>
              <w:rPr>
                <w:rFonts w:hint="eastAsia" w:ascii="Times New Roman" w:hAnsi="Times New Roman" w:eastAsia="仿宋" w:cs="Times New Roman"/>
                <w:b/>
                <w:bCs/>
                <w:i w:val="0"/>
                <w:iCs w:val="0"/>
                <w:color w:val="000000"/>
                <w:kern w:val="0"/>
                <w:sz w:val="24"/>
                <w:szCs w:val="24"/>
                <w:highlight w:val="none"/>
                <w:u w:val="none"/>
                <w:lang w:val="en-US" w:eastAsia="zh-CN" w:bidi="ar"/>
              </w:rPr>
              <w:t>土地补偿费</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AE16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Times New Roman" w:hAnsi="Times New Roman" w:eastAsia="仿宋" w:cs="Times New Roman"/>
                <w:b/>
                <w:bCs/>
                <w:i w:val="0"/>
                <w:iCs w:val="0"/>
                <w:color w:val="000000"/>
                <w:sz w:val="24"/>
                <w:szCs w:val="24"/>
                <w:highlight w:val="none"/>
                <w:u w:val="none"/>
              </w:rPr>
            </w:pPr>
            <w:r>
              <w:rPr>
                <w:rFonts w:hint="eastAsia" w:ascii="Times New Roman" w:hAnsi="Times New Roman" w:eastAsia="仿宋" w:cs="Times New Roman"/>
                <w:b/>
                <w:bCs/>
                <w:i w:val="0"/>
                <w:iCs w:val="0"/>
                <w:color w:val="000000"/>
                <w:kern w:val="0"/>
                <w:sz w:val="24"/>
                <w:szCs w:val="24"/>
                <w:highlight w:val="none"/>
                <w:u w:val="none"/>
                <w:lang w:val="en-US" w:eastAsia="zh-CN" w:bidi="ar"/>
              </w:rPr>
              <w:t>占比</w:t>
            </w:r>
          </w:p>
        </w:tc>
        <w:tc>
          <w:tcPr>
            <w:tcW w:w="14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C165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Times New Roman" w:hAnsi="Times New Roman" w:eastAsia="仿宋" w:cs="Times New Roman"/>
                <w:b/>
                <w:bCs/>
                <w:i w:val="0"/>
                <w:iCs w:val="0"/>
                <w:color w:val="000000"/>
                <w:sz w:val="24"/>
                <w:szCs w:val="24"/>
                <w:highlight w:val="none"/>
                <w:u w:val="none"/>
              </w:rPr>
            </w:pPr>
            <w:r>
              <w:rPr>
                <w:rFonts w:hint="eastAsia" w:ascii="Times New Roman" w:hAnsi="Times New Roman" w:eastAsia="仿宋" w:cs="Times New Roman"/>
                <w:b/>
                <w:bCs/>
                <w:i w:val="0"/>
                <w:iCs w:val="0"/>
                <w:color w:val="000000"/>
                <w:kern w:val="0"/>
                <w:sz w:val="24"/>
                <w:szCs w:val="24"/>
                <w:highlight w:val="none"/>
                <w:u w:val="none"/>
                <w:lang w:val="en-US" w:eastAsia="zh-CN" w:bidi="ar"/>
              </w:rPr>
              <w:t>安置补助费</w:t>
            </w: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A57F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Times New Roman" w:hAnsi="Times New Roman" w:eastAsia="仿宋" w:cs="Times New Roman"/>
                <w:b/>
                <w:bCs/>
                <w:i w:val="0"/>
                <w:iCs w:val="0"/>
                <w:color w:val="000000"/>
                <w:sz w:val="24"/>
                <w:szCs w:val="24"/>
                <w:highlight w:val="none"/>
                <w:u w:val="none"/>
              </w:rPr>
            </w:pPr>
            <w:r>
              <w:rPr>
                <w:rFonts w:hint="eastAsia" w:ascii="Times New Roman" w:hAnsi="Times New Roman" w:eastAsia="仿宋" w:cs="Times New Roman"/>
                <w:b/>
                <w:bCs/>
                <w:i w:val="0"/>
                <w:iCs w:val="0"/>
                <w:color w:val="000000"/>
                <w:kern w:val="0"/>
                <w:sz w:val="24"/>
                <w:szCs w:val="24"/>
                <w:highlight w:val="none"/>
                <w:u w:val="none"/>
                <w:lang w:val="en-US" w:eastAsia="zh-CN" w:bidi="ar"/>
              </w:rPr>
              <w:t>占比</w:t>
            </w:r>
          </w:p>
        </w:tc>
        <w:tc>
          <w:tcPr>
            <w:tcW w:w="7410" w:type="dxa"/>
            <w:vMerge w:val="continue"/>
            <w:tcBorders>
              <w:top w:val="single" w:color="000000" w:sz="8" w:space="0"/>
              <w:left w:val="single" w:color="000000" w:sz="4" w:space="0"/>
              <w:bottom w:val="single" w:color="000000" w:sz="4" w:space="0"/>
              <w:right w:val="single" w:color="000000" w:sz="8" w:space="0"/>
            </w:tcBorders>
            <w:shd w:val="clear" w:color="auto" w:fill="auto"/>
            <w:vAlign w:val="center"/>
          </w:tcPr>
          <w:p w14:paraId="3AB2E24B">
            <w:pPr>
              <w:keepNext w:val="0"/>
              <w:keepLines w:val="0"/>
              <w:pageBreakBefore w:val="0"/>
              <w:widowControl w:val="0"/>
              <w:kinsoku/>
              <w:wordWrap/>
              <w:overflowPunct/>
              <w:topLinePunct w:val="0"/>
              <w:autoSpaceDE/>
              <w:autoSpaceDN/>
              <w:bidi w:val="0"/>
              <w:adjustRightInd/>
              <w:snapToGrid/>
              <w:jc w:val="center"/>
              <w:rPr>
                <w:rFonts w:hint="eastAsia" w:ascii="Times New Roman" w:hAnsi="Times New Roman" w:eastAsia="仿宋" w:cs="Times New Roman"/>
                <w:i w:val="0"/>
                <w:iCs w:val="0"/>
                <w:color w:val="000000"/>
                <w:sz w:val="24"/>
                <w:szCs w:val="24"/>
                <w:highlight w:val="none"/>
                <w:u w:val="none"/>
              </w:rPr>
            </w:pPr>
          </w:p>
        </w:tc>
      </w:tr>
      <w:tr w14:paraId="73F44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5" w:hRule="atLeast"/>
        </w:trPr>
        <w:tc>
          <w:tcPr>
            <w:tcW w:w="1011" w:type="dxa"/>
            <w:vMerge w:val="restart"/>
            <w:tcBorders>
              <w:top w:val="single" w:color="000000" w:sz="4" w:space="0"/>
              <w:left w:val="single" w:color="000000" w:sz="8" w:space="0"/>
              <w:bottom w:val="single" w:color="000000" w:sz="4" w:space="0"/>
              <w:right w:val="single" w:color="000000" w:sz="4" w:space="0"/>
            </w:tcBorders>
            <w:shd w:val="clear" w:color="auto" w:fill="auto"/>
            <w:vAlign w:val="center"/>
          </w:tcPr>
          <w:p w14:paraId="2F5CDF26">
            <w:pPr>
              <w:widowControl/>
              <w:jc w:val="center"/>
              <w:rPr>
                <w:rFonts w:hint="eastAsia" w:ascii="Times New Roman" w:hAnsi="Times New Roman" w:eastAsia="仿宋" w:cs="Times New Roman"/>
                <w:i w:val="0"/>
                <w:iCs w:val="0"/>
                <w:color w:val="000000"/>
                <w:sz w:val="24"/>
                <w:szCs w:val="24"/>
                <w:highlight w:val="none"/>
                <w:u w:val="none"/>
                <w:lang w:eastAsia="zh-CN"/>
              </w:rPr>
            </w:pPr>
            <w:r>
              <w:rPr>
                <w:rFonts w:hint="eastAsia" w:ascii="Times New Roman" w:hAnsi="Times New Roman" w:eastAsia="仿宋" w:cs="Times New Roman"/>
                <w:color w:val="000000"/>
                <w:kern w:val="0"/>
                <w:sz w:val="24"/>
                <w:szCs w:val="24"/>
                <w:lang w:val="en-US" w:eastAsia="zh-CN"/>
              </w:rPr>
              <w:t>揭东区</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E562E">
            <w:pPr>
              <w:widowControl/>
              <w:jc w:val="center"/>
              <w:rPr>
                <w:rFonts w:hint="eastAsia" w:ascii="Times New Roman" w:hAnsi="Times New Roman" w:eastAsia="仿宋" w:cs="Times New Roman"/>
                <w:i w:val="0"/>
                <w:iCs w:val="0"/>
                <w:color w:val="000000"/>
                <w:sz w:val="24"/>
                <w:szCs w:val="24"/>
                <w:highlight w:val="none"/>
                <w:u w:val="none"/>
              </w:rPr>
            </w:pPr>
            <w:r>
              <w:rPr>
                <w:rFonts w:ascii="Times New Roman" w:hAnsi="Times New Roman" w:eastAsia="仿宋" w:cs="Times New Roman"/>
                <w:color w:val="000000"/>
                <w:kern w:val="0"/>
                <w:sz w:val="24"/>
                <w:szCs w:val="24"/>
              </w:rPr>
              <w:t>1</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D038F">
            <w:pPr>
              <w:widowControl/>
              <w:jc w:val="center"/>
              <w:rPr>
                <w:rFonts w:hint="eastAsia" w:ascii="Times New Roman" w:hAnsi="Times New Roman" w:eastAsia="仿宋" w:cs="Times New Roman"/>
                <w:i w:val="0"/>
                <w:iCs w:val="0"/>
                <w:color w:val="000000"/>
                <w:sz w:val="24"/>
                <w:szCs w:val="24"/>
                <w:highlight w:val="none"/>
                <w:u w:val="none"/>
                <w:lang w:eastAsia="zh-CN"/>
              </w:rPr>
            </w:pPr>
            <w:r>
              <w:rPr>
                <w:rFonts w:ascii="Times New Roman" w:hAnsi="Times New Roman" w:eastAsia="仿宋" w:cs="Times New Roman"/>
                <w:color w:val="000000"/>
                <w:kern w:val="0"/>
                <w:sz w:val="24"/>
                <w:szCs w:val="24"/>
              </w:rPr>
              <w:t>8.</w:t>
            </w:r>
            <w:r>
              <w:rPr>
                <w:rFonts w:hint="eastAsia" w:ascii="Times New Roman" w:hAnsi="Times New Roman" w:eastAsia="仿宋" w:cs="Times New Roman"/>
                <w:color w:val="000000"/>
                <w:kern w:val="0"/>
                <w:sz w:val="24"/>
                <w:szCs w:val="24"/>
                <w:lang w:val="en-US" w:eastAsia="zh-CN"/>
              </w:rPr>
              <w:t>8</w:t>
            </w:r>
            <w:r>
              <w:rPr>
                <w:rFonts w:ascii="Times New Roman" w:hAnsi="Times New Roman" w:eastAsia="仿宋" w:cs="Times New Roman"/>
                <w:color w:val="000000"/>
                <w:kern w:val="0"/>
                <w:sz w:val="24"/>
                <w:szCs w:val="24"/>
              </w:rPr>
              <w:t>0</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7C1C2">
            <w:pPr>
              <w:jc w:val="center"/>
              <w:rPr>
                <w:rFonts w:hint="eastAsia" w:ascii="Times New Roman" w:hAnsi="Times New Roman" w:eastAsia="仿宋" w:cs="Times New Roman"/>
                <w:i w:val="0"/>
                <w:iCs w:val="0"/>
                <w:color w:val="000000"/>
                <w:sz w:val="24"/>
                <w:szCs w:val="24"/>
                <w:highlight w:val="none"/>
                <w:u w:val="none"/>
                <w:lang w:eastAsia="zh-CN"/>
              </w:rPr>
            </w:pPr>
            <w:r>
              <w:rPr>
                <w:rFonts w:ascii="Times New Roman" w:hAnsi="Times New Roman" w:eastAsia="仿宋" w:cs="Times New Roman"/>
                <w:color w:val="000000"/>
                <w:kern w:val="0"/>
                <w:sz w:val="24"/>
                <w:szCs w:val="24"/>
              </w:rPr>
              <w:t>3.</w:t>
            </w:r>
            <w:r>
              <w:rPr>
                <w:rFonts w:hint="eastAsia" w:ascii="Times New Roman" w:hAnsi="Times New Roman" w:eastAsia="仿宋" w:cs="Times New Roman"/>
                <w:color w:val="000000"/>
                <w:kern w:val="0"/>
                <w:sz w:val="24"/>
                <w:szCs w:val="24"/>
                <w:lang w:val="en-US" w:eastAsia="zh-CN"/>
              </w:rPr>
              <w:t>52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A8ACB">
            <w:pPr>
              <w:jc w:val="center"/>
              <w:rPr>
                <w:rFonts w:hint="eastAsia" w:ascii="Times New Roman" w:hAnsi="Times New Roman" w:eastAsia="仿宋" w:cs="Times New Roman"/>
                <w:i w:val="0"/>
                <w:iCs w:val="0"/>
                <w:color w:val="000000"/>
                <w:sz w:val="24"/>
                <w:szCs w:val="24"/>
                <w:highlight w:val="none"/>
                <w:u w:val="none"/>
              </w:rPr>
            </w:pPr>
            <w:r>
              <w:rPr>
                <w:rFonts w:ascii="Times New Roman" w:hAnsi="Times New Roman" w:eastAsia="仿宋" w:cs="Times New Roman"/>
                <w:color w:val="000000"/>
                <w:kern w:val="0"/>
                <w:sz w:val="24"/>
                <w:szCs w:val="24"/>
              </w:rPr>
              <w:t>40%</w:t>
            </w:r>
          </w:p>
        </w:tc>
        <w:tc>
          <w:tcPr>
            <w:tcW w:w="1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C3DEA">
            <w:pPr>
              <w:jc w:val="center"/>
              <w:rPr>
                <w:rFonts w:hint="eastAsia" w:ascii="Times New Roman" w:hAnsi="Times New Roman" w:eastAsia="仿宋" w:cs="Times New Roman"/>
                <w:i w:val="0"/>
                <w:iCs w:val="0"/>
                <w:color w:val="000000"/>
                <w:sz w:val="24"/>
                <w:szCs w:val="24"/>
                <w:highlight w:val="none"/>
                <w:u w:val="none"/>
                <w:lang w:eastAsia="zh-CN"/>
              </w:rPr>
            </w:pPr>
            <w:r>
              <w:rPr>
                <w:rFonts w:ascii="Times New Roman" w:hAnsi="Times New Roman" w:eastAsia="仿宋" w:cs="Times New Roman"/>
                <w:color w:val="000000"/>
                <w:kern w:val="0"/>
                <w:sz w:val="24"/>
                <w:szCs w:val="24"/>
              </w:rPr>
              <w:t>5.</w:t>
            </w:r>
            <w:r>
              <w:rPr>
                <w:rFonts w:hint="eastAsia" w:ascii="Times New Roman" w:hAnsi="Times New Roman" w:eastAsia="仿宋" w:cs="Times New Roman"/>
                <w:color w:val="000000"/>
                <w:kern w:val="0"/>
                <w:sz w:val="24"/>
                <w:szCs w:val="24"/>
                <w:lang w:val="en-US" w:eastAsia="zh-CN"/>
              </w:rPr>
              <w:t>28</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EE4F6">
            <w:pPr>
              <w:jc w:val="center"/>
              <w:rPr>
                <w:rFonts w:hint="eastAsia" w:ascii="Times New Roman" w:hAnsi="Times New Roman" w:eastAsia="仿宋" w:cs="Times New Roman"/>
                <w:i w:val="0"/>
                <w:iCs w:val="0"/>
                <w:color w:val="000000"/>
                <w:sz w:val="24"/>
                <w:szCs w:val="24"/>
                <w:highlight w:val="none"/>
                <w:u w:val="none"/>
              </w:rPr>
            </w:pPr>
            <w:r>
              <w:rPr>
                <w:rFonts w:ascii="Times New Roman" w:hAnsi="Times New Roman" w:eastAsia="仿宋" w:cs="Times New Roman"/>
                <w:color w:val="000000"/>
                <w:kern w:val="0"/>
                <w:sz w:val="24"/>
                <w:szCs w:val="24"/>
              </w:rPr>
              <w:t>60%</w:t>
            </w:r>
          </w:p>
        </w:tc>
        <w:tc>
          <w:tcPr>
            <w:tcW w:w="741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13BAE12">
            <w:pPr>
              <w:widowControl/>
              <w:rPr>
                <w:rFonts w:hint="eastAsia" w:ascii="Times New Roman" w:hAnsi="Times New Roman" w:eastAsia="仿宋" w:cs="Times New Roman"/>
                <w:b/>
                <w:bCs/>
                <w:i w:val="0"/>
                <w:iCs w:val="0"/>
                <w:color w:val="000000"/>
                <w:sz w:val="24"/>
                <w:szCs w:val="24"/>
                <w:highlight w:val="none"/>
                <w:u w:val="none"/>
              </w:rPr>
            </w:pPr>
            <w:r>
              <w:rPr>
                <w:rFonts w:hint="eastAsia" w:ascii="Times New Roman" w:hAnsi="Times New Roman" w:eastAsia="仿宋" w:cs="Times New Roman"/>
                <w:b w:val="0"/>
                <w:bCs w:val="0"/>
                <w:color w:val="000000"/>
                <w:kern w:val="0"/>
                <w:sz w:val="24"/>
                <w:szCs w:val="24"/>
              </w:rPr>
              <w:t>磐东街道</w:t>
            </w:r>
            <w:r>
              <w:rPr>
                <w:rFonts w:hint="eastAsia" w:ascii="Times New Roman" w:hAnsi="Times New Roman" w:eastAsia="仿宋" w:cs="Times New Roman"/>
                <w:b w:val="0"/>
                <w:bCs w:val="0"/>
                <w:color w:val="000000"/>
                <w:kern w:val="0"/>
                <w:sz w:val="24"/>
                <w:szCs w:val="24"/>
                <w:lang w:eastAsia="zh-CN"/>
              </w:rPr>
              <w:t>、</w:t>
            </w:r>
            <w:r>
              <w:rPr>
                <w:rFonts w:hint="eastAsia" w:ascii="Times New Roman" w:hAnsi="Times New Roman" w:eastAsia="仿宋" w:cs="Times New Roman"/>
                <w:b w:val="0"/>
                <w:bCs w:val="0"/>
                <w:color w:val="000000"/>
                <w:kern w:val="0"/>
                <w:sz w:val="24"/>
                <w:szCs w:val="24"/>
              </w:rPr>
              <w:t>曲溪街道</w:t>
            </w:r>
          </w:p>
        </w:tc>
      </w:tr>
      <w:tr w14:paraId="52449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1011"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2D86FEAB">
            <w:pPr>
              <w:widowControl/>
              <w:jc w:val="left"/>
              <w:rPr>
                <w:rFonts w:hint="eastAsia" w:ascii="Times New Roman" w:hAnsi="Times New Roman" w:eastAsia="仿宋" w:cs="Times New Roman"/>
                <w:i w:val="0"/>
                <w:iCs w:val="0"/>
                <w:color w:val="000000"/>
                <w:sz w:val="24"/>
                <w:szCs w:val="24"/>
                <w:highlight w:val="none"/>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DFD77">
            <w:pPr>
              <w:widowControl/>
              <w:jc w:val="center"/>
              <w:rPr>
                <w:rFonts w:hint="eastAsia" w:ascii="Times New Roman" w:hAnsi="Times New Roman" w:eastAsia="仿宋" w:cs="Times New Roman"/>
                <w:i w:val="0"/>
                <w:iCs w:val="0"/>
                <w:color w:val="000000"/>
                <w:sz w:val="24"/>
                <w:szCs w:val="24"/>
                <w:highlight w:val="none"/>
                <w:u w:val="none"/>
              </w:rPr>
            </w:pPr>
            <w:r>
              <w:rPr>
                <w:rFonts w:ascii="Times New Roman" w:hAnsi="Times New Roman" w:eastAsia="仿宋" w:cs="Times New Roman"/>
                <w:color w:val="000000"/>
                <w:kern w:val="0"/>
                <w:sz w:val="24"/>
                <w:szCs w:val="24"/>
              </w:rPr>
              <w:t>2</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391B5">
            <w:pPr>
              <w:jc w:val="center"/>
              <w:rPr>
                <w:rFonts w:hint="eastAsia" w:ascii="Times New Roman" w:hAnsi="Times New Roman" w:eastAsia="仿宋" w:cs="Times New Roman"/>
                <w:i w:val="0"/>
                <w:iCs w:val="0"/>
                <w:color w:val="000000"/>
                <w:sz w:val="24"/>
                <w:szCs w:val="24"/>
                <w:highlight w:val="none"/>
                <w:u w:val="none"/>
                <w:lang w:eastAsia="zh-CN"/>
              </w:rPr>
            </w:pPr>
            <w:r>
              <w:rPr>
                <w:rFonts w:hint="eastAsia" w:ascii="Times New Roman" w:hAnsi="Times New Roman" w:eastAsia="仿宋" w:cs="Times New Roman"/>
                <w:color w:val="000000"/>
                <w:kern w:val="0"/>
                <w:sz w:val="24"/>
                <w:szCs w:val="24"/>
                <w:lang w:val="en-US" w:eastAsia="zh-CN"/>
              </w:rPr>
              <w:t>8</w:t>
            </w:r>
            <w:r>
              <w:rPr>
                <w:rFonts w:ascii="Times New Roman" w:hAnsi="Times New Roman" w:eastAsia="仿宋" w:cs="Times New Roman"/>
                <w:color w:val="000000"/>
                <w:kern w:val="0"/>
                <w:sz w:val="24"/>
                <w:szCs w:val="24"/>
              </w:rPr>
              <w:t>.00</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91FC5">
            <w:pPr>
              <w:jc w:val="center"/>
              <w:rPr>
                <w:rFonts w:hint="eastAsia" w:ascii="Times New Roman" w:hAnsi="Times New Roman" w:eastAsia="仿宋" w:cs="Times New Roman"/>
                <w:i w:val="0"/>
                <w:iCs w:val="0"/>
                <w:color w:val="000000"/>
                <w:sz w:val="24"/>
                <w:szCs w:val="24"/>
                <w:highlight w:val="none"/>
                <w:u w:val="none"/>
                <w:lang w:eastAsia="zh-CN"/>
              </w:rPr>
            </w:pPr>
            <w:r>
              <w:rPr>
                <w:rFonts w:hint="eastAsia" w:ascii="Times New Roman" w:hAnsi="Times New Roman" w:eastAsia="仿宋" w:cs="Times New Roman"/>
                <w:color w:val="000000"/>
                <w:kern w:val="0"/>
                <w:sz w:val="24"/>
                <w:szCs w:val="24"/>
                <w:lang w:val="en-US" w:eastAsia="zh-CN"/>
              </w:rPr>
              <w:t>3.20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57E8A">
            <w:pPr>
              <w:jc w:val="center"/>
              <w:rPr>
                <w:rFonts w:hint="eastAsia" w:ascii="Times New Roman" w:hAnsi="Times New Roman" w:eastAsia="仿宋" w:cs="Times New Roman"/>
                <w:i w:val="0"/>
                <w:iCs w:val="0"/>
                <w:color w:val="000000"/>
                <w:sz w:val="24"/>
                <w:szCs w:val="24"/>
                <w:highlight w:val="none"/>
                <w:u w:val="none"/>
              </w:rPr>
            </w:pPr>
            <w:r>
              <w:rPr>
                <w:rFonts w:ascii="Times New Roman" w:hAnsi="Times New Roman" w:eastAsia="仿宋" w:cs="Times New Roman"/>
                <w:color w:val="000000"/>
                <w:kern w:val="0"/>
                <w:sz w:val="24"/>
                <w:szCs w:val="24"/>
              </w:rPr>
              <w:t>40%</w:t>
            </w:r>
          </w:p>
        </w:tc>
        <w:tc>
          <w:tcPr>
            <w:tcW w:w="1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3BEFA">
            <w:pPr>
              <w:jc w:val="center"/>
              <w:rPr>
                <w:rFonts w:hint="eastAsia" w:ascii="Times New Roman" w:hAnsi="Times New Roman" w:eastAsia="仿宋" w:cs="Times New Roman"/>
                <w:i w:val="0"/>
                <w:iCs w:val="0"/>
                <w:color w:val="000000"/>
                <w:sz w:val="24"/>
                <w:szCs w:val="24"/>
                <w:highlight w:val="none"/>
                <w:u w:val="none"/>
                <w:lang w:eastAsia="zh-CN"/>
              </w:rPr>
            </w:pPr>
            <w:r>
              <w:rPr>
                <w:rFonts w:hint="eastAsia" w:ascii="Times New Roman" w:hAnsi="Times New Roman" w:eastAsia="仿宋" w:cs="Times New Roman"/>
                <w:color w:val="000000"/>
                <w:kern w:val="0"/>
                <w:sz w:val="24"/>
                <w:szCs w:val="24"/>
                <w:lang w:val="en-US" w:eastAsia="zh-CN"/>
              </w:rPr>
              <w:t>4.80</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8648F">
            <w:pPr>
              <w:jc w:val="center"/>
              <w:rPr>
                <w:rFonts w:hint="eastAsia" w:ascii="Times New Roman" w:hAnsi="Times New Roman" w:eastAsia="仿宋" w:cs="Times New Roman"/>
                <w:i w:val="0"/>
                <w:iCs w:val="0"/>
                <w:color w:val="000000"/>
                <w:sz w:val="24"/>
                <w:szCs w:val="24"/>
                <w:highlight w:val="none"/>
                <w:u w:val="none"/>
              </w:rPr>
            </w:pPr>
            <w:r>
              <w:rPr>
                <w:rFonts w:ascii="Times New Roman" w:hAnsi="Times New Roman" w:eastAsia="仿宋" w:cs="Times New Roman"/>
                <w:color w:val="000000"/>
                <w:kern w:val="0"/>
                <w:sz w:val="24"/>
                <w:szCs w:val="24"/>
              </w:rPr>
              <w:t>60%</w:t>
            </w:r>
          </w:p>
        </w:tc>
        <w:tc>
          <w:tcPr>
            <w:tcW w:w="741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FCD6901">
            <w:pPr>
              <w:rPr>
                <w:rFonts w:hint="eastAsia" w:ascii="Times New Roman" w:hAnsi="Times New Roman" w:eastAsia="仿宋" w:cs="Times New Roman"/>
                <w:b/>
                <w:bCs/>
                <w:i w:val="0"/>
                <w:iCs w:val="0"/>
                <w:color w:val="000000"/>
                <w:sz w:val="24"/>
                <w:szCs w:val="24"/>
                <w:highlight w:val="none"/>
                <w:u w:val="none"/>
              </w:rPr>
            </w:pPr>
            <w:r>
              <w:rPr>
                <w:rFonts w:hint="eastAsia" w:ascii="Times New Roman" w:hAnsi="Times New Roman" w:eastAsia="仿宋" w:cs="Times New Roman"/>
                <w:b w:val="0"/>
                <w:bCs w:val="0"/>
                <w:color w:val="000000"/>
                <w:kern w:val="0"/>
                <w:sz w:val="24"/>
                <w:szCs w:val="24"/>
                <w:lang w:val="en-US" w:eastAsia="zh-CN"/>
              </w:rPr>
              <w:t>锡场镇、月城镇、霖磐镇</w:t>
            </w:r>
          </w:p>
        </w:tc>
      </w:tr>
      <w:tr w14:paraId="57CAE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75" w:hRule="atLeast"/>
        </w:trPr>
        <w:tc>
          <w:tcPr>
            <w:tcW w:w="1011"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65976BE4">
            <w:pPr>
              <w:widowControl/>
              <w:jc w:val="left"/>
              <w:rPr>
                <w:rFonts w:hint="eastAsia" w:ascii="Times New Roman" w:hAnsi="Times New Roman" w:eastAsia="仿宋" w:cs="Times New Roman"/>
                <w:i w:val="0"/>
                <w:iCs w:val="0"/>
                <w:color w:val="000000"/>
                <w:sz w:val="24"/>
                <w:szCs w:val="24"/>
                <w:highlight w:val="none"/>
                <w:u w:val="none"/>
              </w:rPr>
            </w:pPr>
          </w:p>
        </w:tc>
        <w:tc>
          <w:tcPr>
            <w:tcW w:w="743" w:type="dxa"/>
            <w:tcBorders>
              <w:top w:val="single" w:color="000000" w:sz="4" w:space="0"/>
              <w:left w:val="single" w:color="000000" w:sz="4" w:space="0"/>
              <w:bottom w:val="single" w:color="000000" w:sz="8" w:space="0"/>
              <w:right w:val="single" w:color="000000" w:sz="4" w:space="0"/>
            </w:tcBorders>
            <w:shd w:val="clear" w:color="auto" w:fill="auto"/>
            <w:vAlign w:val="center"/>
          </w:tcPr>
          <w:p w14:paraId="5F681B1E">
            <w:pPr>
              <w:widowControl/>
              <w:jc w:val="center"/>
              <w:rPr>
                <w:rFonts w:hint="eastAsia" w:ascii="Times New Roman" w:hAnsi="Times New Roman" w:eastAsia="仿宋" w:cs="Times New Roman"/>
                <w:i w:val="0"/>
                <w:iCs w:val="0"/>
                <w:color w:val="000000"/>
                <w:sz w:val="24"/>
                <w:szCs w:val="24"/>
                <w:highlight w:val="none"/>
                <w:u w:val="none"/>
              </w:rPr>
            </w:pPr>
            <w:r>
              <w:rPr>
                <w:rFonts w:ascii="Times New Roman" w:hAnsi="Times New Roman" w:eastAsia="仿宋" w:cs="Times New Roman"/>
                <w:color w:val="000000"/>
                <w:kern w:val="0"/>
                <w:sz w:val="24"/>
                <w:szCs w:val="24"/>
              </w:rPr>
              <w:t>3</w:t>
            </w:r>
          </w:p>
        </w:tc>
        <w:tc>
          <w:tcPr>
            <w:tcW w:w="842" w:type="dxa"/>
            <w:tcBorders>
              <w:top w:val="single" w:color="000000" w:sz="4" w:space="0"/>
              <w:left w:val="single" w:color="000000" w:sz="4" w:space="0"/>
              <w:bottom w:val="single" w:color="000000" w:sz="8" w:space="0"/>
              <w:right w:val="single" w:color="000000" w:sz="4" w:space="0"/>
            </w:tcBorders>
            <w:shd w:val="clear" w:color="auto" w:fill="auto"/>
            <w:vAlign w:val="center"/>
          </w:tcPr>
          <w:p w14:paraId="7FD7DD39">
            <w:pPr>
              <w:jc w:val="center"/>
              <w:rPr>
                <w:rFonts w:hint="eastAsia" w:ascii="Times New Roman" w:hAnsi="Times New Roman" w:eastAsia="仿宋" w:cs="Times New Roman"/>
                <w:i w:val="0"/>
                <w:iCs w:val="0"/>
                <w:color w:val="000000"/>
                <w:sz w:val="24"/>
                <w:szCs w:val="24"/>
                <w:highlight w:val="none"/>
                <w:u w:val="none"/>
                <w:lang w:eastAsia="zh-CN"/>
              </w:rPr>
            </w:pPr>
            <w:r>
              <w:rPr>
                <w:rFonts w:hint="eastAsia" w:ascii="Times New Roman" w:hAnsi="Times New Roman" w:eastAsia="仿宋" w:cs="Times New Roman"/>
                <w:color w:val="000000"/>
                <w:kern w:val="0"/>
                <w:sz w:val="24"/>
                <w:szCs w:val="24"/>
                <w:lang w:val="en-US" w:eastAsia="zh-CN"/>
              </w:rPr>
              <w:t>7.00</w:t>
            </w:r>
          </w:p>
        </w:tc>
        <w:tc>
          <w:tcPr>
            <w:tcW w:w="1429" w:type="dxa"/>
            <w:tcBorders>
              <w:top w:val="single" w:color="000000" w:sz="4" w:space="0"/>
              <w:left w:val="single" w:color="000000" w:sz="4" w:space="0"/>
              <w:bottom w:val="single" w:color="000000" w:sz="8" w:space="0"/>
              <w:right w:val="single" w:color="000000" w:sz="4" w:space="0"/>
            </w:tcBorders>
            <w:shd w:val="clear" w:color="auto" w:fill="auto"/>
            <w:vAlign w:val="center"/>
          </w:tcPr>
          <w:p w14:paraId="799D15B1">
            <w:pPr>
              <w:jc w:val="center"/>
              <w:rPr>
                <w:rFonts w:hint="eastAsia" w:ascii="Times New Roman" w:hAnsi="Times New Roman" w:eastAsia="仿宋" w:cs="Times New Roman"/>
                <w:i w:val="0"/>
                <w:iCs w:val="0"/>
                <w:color w:val="000000"/>
                <w:sz w:val="24"/>
                <w:szCs w:val="24"/>
                <w:highlight w:val="none"/>
                <w:u w:val="none"/>
                <w:lang w:eastAsia="zh-CN"/>
              </w:rPr>
            </w:pPr>
            <w:r>
              <w:rPr>
                <w:rFonts w:hint="eastAsia" w:ascii="Times New Roman" w:hAnsi="Times New Roman" w:eastAsia="仿宋" w:cs="Times New Roman"/>
                <w:color w:val="000000"/>
                <w:kern w:val="0"/>
                <w:sz w:val="24"/>
                <w:szCs w:val="24"/>
                <w:lang w:val="en-US" w:eastAsia="zh-CN"/>
              </w:rPr>
              <w:t>2.80</w:t>
            </w:r>
          </w:p>
        </w:tc>
        <w:tc>
          <w:tcPr>
            <w:tcW w:w="80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1EEEBA35">
            <w:pPr>
              <w:jc w:val="center"/>
              <w:rPr>
                <w:rFonts w:hint="eastAsia" w:ascii="Times New Roman" w:hAnsi="Times New Roman" w:eastAsia="仿宋" w:cs="Times New Roman"/>
                <w:i w:val="0"/>
                <w:iCs w:val="0"/>
                <w:color w:val="000000"/>
                <w:sz w:val="24"/>
                <w:szCs w:val="24"/>
                <w:highlight w:val="none"/>
                <w:u w:val="none"/>
              </w:rPr>
            </w:pPr>
            <w:r>
              <w:rPr>
                <w:rFonts w:ascii="Times New Roman" w:hAnsi="Times New Roman" w:eastAsia="仿宋" w:cs="Times New Roman"/>
                <w:color w:val="000000"/>
                <w:kern w:val="0"/>
                <w:sz w:val="24"/>
                <w:szCs w:val="24"/>
              </w:rPr>
              <w:t>40%</w:t>
            </w:r>
          </w:p>
        </w:tc>
        <w:tc>
          <w:tcPr>
            <w:tcW w:w="1457" w:type="dxa"/>
            <w:tcBorders>
              <w:top w:val="single" w:color="000000" w:sz="4" w:space="0"/>
              <w:left w:val="single" w:color="000000" w:sz="4" w:space="0"/>
              <w:bottom w:val="single" w:color="000000" w:sz="8" w:space="0"/>
              <w:right w:val="single" w:color="000000" w:sz="4" w:space="0"/>
            </w:tcBorders>
            <w:shd w:val="clear" w:color="auto" w:fill="auto"/>
            <w:vAlign w:val="center"/>
          </w:tcPr>
          <w:p w14:paraId="2D8FCC9A">
            <w:pPr>
              <w:jc w:val="center"/>
              <w:rPr>
                <w:rFonts w:hint="eastAsia" w:ascii="Times New Roman" w:hAnsi="Times New Roman" w:eastAsia="仿宋" w:cs="Times New Roman"/>
                <w:i w:val="0"/>
                <w:iCs w:val="0"/>
                <w:color w:val="000000"/>
                <w:sz w:val="24"/>
                <w:szCs w:val="24"/>
                <w:highlight w:val="none"/>
                <w:u w:val="none"/>
                <w:lang w:eastAsia="zh-CN"/>
              </w:rPr>
            </w:pPr>
            <w:r>
              <w:rPr>
                <w:rFonts w:hint="eastAsia" w:ascii="Times New Roman" w:hAnsi="Times New Roman" w:eastAsia="仿宋" w:cs="Times New Roman"/>
                <w:color w:val="000000"/>
                <w:kern w:val="0"/>
                <w:sz w:val="24"/>
                <w:szCs w:val="24"/>
                <w:lang w:val="en-US" w:eastAsia="zh-CN"/>
              </w:rPr>
              <w:t>4.20</w:t>
            </w:r>
          </w:p>
        </w:tc>
        <w:tc>
          <w:tcPr>
            <w:tcW w:w="857" w:type="dxa"/>
            <w:tcBorders>
              <w:top w:val="single" w:color="000000" w:sz="4" w:space="0"/>
              <w:left w:val="single" w:color="000000" w:sz="4" w:space="0"/>
              <w:bottom w:val="single" w:color="000000" w:sz="8" w:space="0"/>
              <w:right w:val="single" w:color="000000" w:sz="4" w:space="0"/>
            </w:tcBorders>
            <w:shd w:val="clear" w:color="auto" w:fill="auto"/>
            <w:vAlign w:val="center"/>
          </w:tcPr>
          <w:p w14:paraId="7F4EC31E">
            <w:pPr>
              <w:jc w:val="center"/>
              <w:rPr>
                <w:rFonts w:hint="eastAsia" w:ascii="Times New Roman" w:hAnsi="Times New Roman" w:eastAsia="仿宋" w:cs="Times New Roman"/>
                <w:i w:val="0"/>
                <w:iCs w:val="0"/>
                <w:color w:val="000000"/>
                <w:sz w:val="24"/>
                <w:szCs w:val="24"/>
                <w:highlight w:val="none"/>
                <w:u w:val="none"/>
              </w:rPr>
            </w:pPr>
            <w:r>
              <w:rPr>
                <w:rFonts w:ascii="Times New Roman" w:hAnsi="Times New Roman" w:eastAsia="仿宋" w:cs="Times New Roman"/>
                <w:color w:val="000000"/>
                <w:kern w:val="0"/>
                <w:sz w:val="24"/>
                <w:szCs w:val="24"/>
              </w:rPr>
              <w:t>60%</w:t>
            </w:r>
          </w:p>
        </w:tc>
        <w:tc>
          <w:tcPr>
            <w:tcW w:w="7410" w:type="dxa"/>
            <w:tcBorders>
              <w:top w:val="single" w:color="000000" w:sz="4" w:space="0"/>
              <w:left w:val="single" w:color="000000" w:sz="4" w:space="0"/>
              <w:bottom w:val="single" w:color="000000" w:sz="8" w:space="0"/>
              <w:right w:val="single" w:color="000000" w:sz="8" w:space="0"/>
            </w:tcBorders>
            <w:shd w:val="clear" w:color="auto" w:fill="auto"/>
            <w:vAlign w:val="center"/>
          </w:tcPr>
          <w:p w14:paraId="0ED33460">
            <w:pPr>
              <w:rPr>
                <w:rFonts w:hint="eastAsia" w:ascii="Times New Roman" w:hAnsi="Times New Roman" w:eastAsia="仿宋" w:cs="Times New Roman"/>
                <w:b/>
                <w:bCs/>
                <w:i w:val="0"/>
                <w:iCs w:val="0"/>
                <w:color w:val="000000"/>
                <w:sz w:val="24"/>
                <w:szCs w:val="24"/>
                <w:highlight w:val="none"/>
                <w:u w:val="none"/>
              </w:rPr>
            </w:pPr>
            <w:r>
              <w:rPr>
                <w:rFonts w:hint="eastAsia" w:ascii="Times New Roman" w:hAnsi="Times New Roman" w:eastAsia="仿宋" w:cs="Times New Roman"/>
                <w:b w:val="0"/>
                <w:bCs w:val="0"/>
                <w:color w:val="000000"/>
                <w:kern w:val="0"/>
                <w:sz w:val="24"/>
                <w:szCs w:val="24"/>
                <w:lang w:val="en-US" w:eastAsia="zh-CN"/>
              </w:rPr>
              <w:t>云路镇、玉窖镇、埔田镇、新亨镇、白塔镇、桂岭镇、玉湖镇、龙尾镇</w:t>
            </w:r>
          </w:p>
        </w:tc>
      </w:tr>
      <w:tr w14:paraId="1EEE2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14549" w:type="dxa"/>
            <w:gridSpan w:val="8"/>
            <w:tcBorders>
              <w:top w:val="nil"/>
              <w:left w:val="nil"/>
              <w:bottom w:val="nil"/>
              <w:right w:val="nil"/>
            </w:tcBorders>
            <w:shd w:val="clear" w:color="auto" w:fill="auto"/>
            <w:vAlign w:val="center"/>
          </w:tcPr>
          <w:p w14:paraId="0501C18A">
            <w:pPr>
              <w:rPr>
                <w:rFonts w:ascii="Times New Roman" w:hAnsi="Times New Roman" w:eastAsia="仿宋" w:cs="Times New Roman"/>
                <w:b/>
                <w:bCs/>
                <w:sz w:val="22"/>
                <w:szCs w:val="28"/>
              </w:rPr>
            </w:pPr>
            <w:r>
              <w:rPr>
                <w:rFonts w:ascii="Times New Roman" w:hAnsi="Times New Roman" w:eastAsia="仿宋" w:cs="Times New Roman"/>
                <w:b/>
                <w:bCs/>
                <w:sz w:val="22"/>
                <w:szCs w:val="28"/>
              </w:rPr>
              <w:t>备注：1.</w:t>
            </w:r>
            <w:bookmarkStart w:id="0" w:name="_Hlk39841430"/>
            <w:r>
              <w:rPr>
                <w:rFonts w:hint="eastAsia" w:ascii="Times New Roman" w:hAnsi="Times New Roman" w:eastAsia="仿宋" w:cs="Times New Roman"/>
                <w:b/>
                <w:bCs/>
                <w:sz w:val="22"/>
                <w:szCs w:val="28"/>
                <w:lang w:eastAsia="zh-CN"/>
              </w:rPr>
              <w:t>揭阳市揭东区</w:t>
            </w:r>
            <w:r>
              <w:rPr>
                <w:rFonts w:ascii="Times New Roman" w:hAnsi="Times New Roman" w:eastAsia="仿宋" w:cs="Times New Roman"/>
                <w:b/>
                <w:bCs/>
                <w:sz w:val="22"/>
                <w:szCs w:val="28"/>
              </w:rPr>
              <w:t>征收农用地区片综合地价不设定地类调节系数；</w:t>
            </w:r>
            <w:bookmarkEnd w:id="0"/>
          </w:p>
          <w:p w14:paraId="188CEB45">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Times New Roman" w:hAnsi="Times New Roman" w:eastAsia="仿宋" w:cs="Times New Roman"/>
                <w:b/>
                <w:bCs/>
                <w:i w:val="0"/>
                <w:iCs w:val="0"/>
                <w:color w:val="000000"/>
                <w:sz w:val="24"/>
                <w:szCs w:val="24"/>
                <w:highlight w:val="none"/>
                <w:u w:val="none"/>
              </w:rPr>
            </w:pPr>
            <w:r>
              <w:rPr>
                <w:rFonts w:ascii="Times New Roman" w:hAnsi="Times New Roman" w:eastAsia="仿宋" w:cs="Times New Roman"/>
                <w:b/>
                <w:bCs/>
                <w:sz w:val="22"/>
                <w:szCs w:val="28"/>
              </w:rPr>
              <w:t>2.</w:t>
            </w:r>
            <w:r>
              <w:rPr>
                <w:rFonts w:hint="eastAsia" w:ascii="Times New Roman" w:hAnsi="Times New Roman" w:eastAsia="仿宋" w:cs="Times New Roman"/>
                <w:b/>
                <w:bCs/>
                <w:sz w:val="22"/>
                <w:szCs w:val="28"/>
                <w:lang w:eastAsia="zh-CN"/>
              </w:rPr>
              <w:t>揭阳市揭东区</w:t>
            </w:r>
            <w:r>
              <w:rPr>
                <w:rFonts w:ascii="Times New Roman" w:hAnsi="Times New Roman" w:eastAsia="仿宋" w:cs="Times New Roman"/>
                <w:b/>
                <w:bCs/>
                <w:sz w:val="22"/>
                <w:szCs w:val="28"/>
              </w:rPr>
              <w:t>征收建设用地和未利用地的补偿标准参照</w:t>
            </w:r>
            <w:bookmarkStart w:id="1" w:name="_Hlk39841389"/>
            <w:r>
              <w:rPr>
                <w:rFonts w:hint="eastAsia" w:ascii="Times New Roman" w:hAnsi="Times New Roman" w:eastAsia="仿宋" w:cs="Times New Roman"/>
                <w:b/>
                <w:bCs/>
                <w:sz w:val="22"/>
                <w:szCs w:val="28"/>
              </w:rPr>
              <w:t>征收农用地区片综合地价执行</w:t>
            </w:r>
            <w:r>
              <w:rPr>
                <w:rFonts w:ascii="Times New Roman" w:hAnsi="Times New Roman" w:eastAsia="仿宋" w:cs="Times New Roman"/>
                <w:b/>
                <w:bCs/>
                <w:sz w:val="22"/>
                <w:szCs w:val="28"/>
              </w:rPr>
              <w:t>，调节系数均为1</w:t>
            </w:r>
            <w:bookmarkEnd w:id="1"/>
            <w:r>
              <w:rPr>
                <w:rFonts w:ascii="Times New Roman" w:hAnsi="Times New Roman" w:eastAsia="仿宋" w:cs="Times New Roman"/>
                <w:b/>
                <w:bCs/>
                <w:sz w:val="22"/>
                <w:szCs w:val="28"/>
              </w:rPr>
              <w:t>。</w:t>
            </w:r>
          </w:p>
        </w:tc>
      </w:tr>
    </w:tbl>
    <w:p w14:paraId="17D408D5">
      <w:pPr>
        <w:keepNext w:val="0"/>
        <w:keepLines w:val="0"/>
        <w:pageBreakBefore w:val="0"/>
        <w:widowControl/>
        <w:tabs>
          <w:tab w:val="left" w:pos="1486"/>
        </w:tabs>
        <w:kinsoku/>
        <w:wordWrap/>
        <w:overflowPunct/>
        <w:topLinePunct w:val="0"/>
        <w:autoSpaceDE/>
        <w:autoSpaceDN/>
        <w:bidi w:val="0"/>
        <w:adjustRightInd/>
        <w:snapToGrid/>
        <w:spacing w:line="240" w:lineRule="auto"/>
        <w:ind w:firstLine="0" w:firstLineChars="0"/>
        <w:jc w:val="center"/>
        <w:textAlignment w:val="auto"/>
        <w:sectPr>
          <w:pgSz w:w="16838" w:h="11906" w:orient="landscape"/>
          <w:pgMar w:top="1463" w:right="1440" w:bottom="1463" w:left="1440" w:header="851" w:footer="992" w:gutter="0"/>
          <w:pgBorders w:offsetFrom="page">
            <w:top w:val="none" w:sz="0" w:space="0"/>
            <w:left w:val="none" w:sz="0" w:space="0"/>
            <w:bottom w:val="none" w:sz="0" w:space="0"/>
            <w:right w:val="none" w:sz="0" w:space="0"/>
          </w:pgBorders>
          <w:cols w:space="425" w:num="1"/>
          <w:docGrid w:type="lines" w:linePitch="312" w:charSpace="0"/>
        </w:sectPr>
      </w:pPr>
    </w:p>
    <w:p w14:paraId="724AF1DA">
      <w:pPr>
        <w:keepNext w:val="0"/>
        <w:keepLines w:val="0"/>
        <w:pageBreakBefore w:val="0"/>
        <w:widowControl/>
        <w:tabs>
          <w:tab w:val="left" w:pos="1486"/>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i w:val="0"/>
          <w:iCs w:val="0"/>
          <w:color w:val="000000"/>
          <w:kern w:val="0"/>
          <w:sz w:val="24"/>
          <w:szCs w:val="24"/>
          <w:highlight w:val="none"/>
          <w:u w:val="none"/>
          <w:lang w:val="en-US" w:eastAsia="zh-CN" w:bidi="ar"/>
        </w:rPr>
      </w:pPr>
      <w:r>
        <w:drawing>
          <wp:inline distT="0" distB="0" distL="114300" distR="114300">
            <wp:extent cx="9029065" cy="6348730"/>
            <wp:effectExtent l="0" t="0" r="635" b="13970"/>
            <wp:docPr id="1" name="图片 1" descr="E:/协助项目、义务工作/20260923揭阳市征收农用地区片综合地价重新公布/揭东区/00 上轮成果/揭阳市揭东区征收农用地区片综合地价图.jpg揭阳市揭东区征收农用地区片综合地价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协助项目、义务工作/20260923揭阳市征收农用地区片综合地价重新公布/揭东区/00 上轮成果/揭阳市揭东区征收农用地区片综合地价图.jpg揭阳市揭东区征收农用地区片综合地价图"/>
                    <pic:cNvPicPr>
                      <a:picLocks noChangeAspect="1"/>
                    </pic:cNvPicPr>
                  </pic:nvPicPr>
                  <pic:blipFill>
                    <a:blip r:embed="rId5"/>
                    <a:srcRect t="301" b="301"/>
                    <a:stretch>
                      <a:fillRect/>
                    </a:stretch>
                  </pic:blipFill>
                  <pic:spPr>
                    <a:xfrm>
                      <a:off x="0" y="0"/>
                      <a:ext cx="9029065" cy="6348730"/>
                    </a:xfrm>
                    <a:prstGeom prst="rect">
                      <a:avLst/>
                    </a:prstGeom>
                    <a:noFill/>
                    <a:ln>
                      <a:noFill/>
                    </a:ln>
                  </pic:spPr>
                </pic:pic>
              </a:graphicData>
            </a:graphic>
          </wp:inline>
        </w:drawing>
      </w:r>
    </w:p>
    <w:sectPr>
      <w:pgSz w:w="16838" w:h="11906" w:orient="landscape"/>
      <w:pgMar w:top="720" w:right="720" w:bottom="720" w:left="720" w:header="567" w:footer="567" w:gutter="0"/>
      <w:pgBorders w:offsetFrom="page">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hint="default" w:ascii="Times New Roman" w:hAnsi="Times New Roman" w:cs="Times New Roman"/>
        <w:sz w:val="20"/>
        <w:szCs w:val="20"/>
      </w:rPr>
      <w:id w:val="864138336"/>
      <w:docPartObj>
        <w:docPartGallery w:val="autotext"/>
      </w:docPartObj>
    </w:sdtPr>
    <w:sdtEndPr>
      <w:rPr>
        <w:rFonts w:hint="default" w:ascii="Times New Roman" w:hAnsi="Times New Roman" w:cs="Times New Roman"/>
        <w:sz w:val="20"/>
        <w:szCs w:val="20"/>
      </w:rPr>
    </w:sdtEndPr>
    <w:sdtContent>
      <w:p w14:paraId="31561ECC">
        <w:pPr>
          <w:pStyle w:val="4"/>
          <w:jc w:val="center"/>
        </w:pP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PAGE   \* MERGEFORMAT </w:instrText>
        </w:r>
        <w:r>
          <w:rPr>
            <w:rFonts w:hint="default" w:ascii="Times New Roman" w:hAnsi="Times New Roman" w:cs="Times New Roman"/>
            <w:sz w:val="20"/>
            <w:szCs w:val="20"/>
          </w:rPr>
          <w:fldChar w:fldCharType="separate"/>
        </w:r>
        <w:r>
          <w:rPr>
            <w:rFonts w:hint="default" w:ascii="Times New Roman" w:hAnsi="Times New Roman" w:cs="Times New Roman"/>
            <w:sz w:val="20"/>
            <w:szCs w:val="20"/>
            <w:lang w:val="zh-CN"/>
          </w:rPr>
          <w:t>3</w:t>
        </w:r>
        <w:r>
          <w:rPr>
            <w:rFonts w:hint="default" w:ascii="Times New Roman" w:hAnsi="Times New Roman" w:cs="Times New Roman"/>
            <w:sz w:val="20"/>
            <w:szCs w:val="20"/>
            <w:lang w:val="zh-CN"/>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BlOWU4OWJjYWYzZDZlNmVkZWYxNzg4NTcxYzU0YmEifQ=="/>
  </w:docVars>
  <w:rsids>
    <w:rsidRoot w:val="7C3C4B42"/>
    <w:rsid w:val="00360206"/>
    <w:rsid w:val="004A701B"/>
    <w:rsid w:val="005857E6"/>
    <w:rsid w:val="00861540"/>
    <w:rsid w:val="008822B1"/>
    <w:rsid w:val="00BF45B2"/>
    <w:rsid w:val="00CC4B97"/>
    <w:rsid w:val="00E038FF"/>
    <w:rsid w:val="00E14006"/>
    <w:rsid w:val="00F93ACD"/>
    <w:rsid w:val="019C625C"/>
    <w:rsid w:val="03D126F3"/>
    <w:rsid w:val="04D7187F"/>
    <w:rsid w:val="0996241E"/>
    <w:rsid w:val="0CB553FA"/>
    <w:rsid w:val="112428AE"/>
    <w:rsid w:val="11513D10"/>
    <w:rsid w:val="12E05D00"/>
    <w:rsid w:val="173D368F"/>
    <w:rsid w:val="1890336F"/>
    <w:rsid w:val="1FC125BA"/>
    <w:rsid w:val="2424465B"/>
    <w:rsid w:val="28C27E83"/>
    <w:rsid w:val="2D3B6D6D"/>
    <w:rsid w:val="2EEE2C2C"/>
    <w:rsid w:val="30742C3E"/>
    <w:rsid w:val="32982967"/>
    <w:rsid w:val="3E1341BA"/>
    <w:rsid w:val="41190132"/>
    <w:rsid w:val="44707BC3"/>
    <w:rsid w:val="4BC41D7B"/>
    <w:rsid w:val="4E676345"/>
    <w:rsid w:val="4FD61243"/>
    <w:rsid w:val="5200380D"/>
    <w:rsid w:val="54404B8F"/>
    <w:rsid w:val="55281B83"/>
    <w:rsid w:val="5C593AA7"/>
    <w:rsid w:val="64FB774B"/>
    <w:rsid w:val="67D05295"/>
    <w:rsid w:val="6A93217B"/>
    <w:rsid w:val="6FF607ED"/>
    <w:rsid w:val="71C20CA2"/>
    <w:rsid w:val="78CC37D6"/>
    <w:rsid w:val="7C3C4B4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1"/>
    <w:pPr>
      <w:autoSpaceDE w:val="0"/>
      <w:autoSpaceDN w:val="0"/>
      <w:spacing w:before="54"/>
      <w:ind w:left="1080"/>
      <w:jc w:val="left"/>
      <w:outlineLvl w:val="0"/>
    </w:pPr>
    <w:rPr>
      <w:rFonts w:ascii="仿宋_GB2312" w:hAnsi="仿宋_GB2312" w:eastAsia="仿宋_GB2312" w:cs="仿宋_GB2312"/>
      <w:b/>
      <w:bCs/>
      <w:kern w:val="0"/>
      <w:sz w:val="32"/>
      <w:szCs w:val="32"/>
      <w:lang w:val="zh-CN" w:bidi="zh-CN"/>
    </w:rPr>
  </w:style>
  <w:style w:type="paragraph" w:styleId="3">
    <w:name w:val="heading 3"/>
    <w:basedOn w:val="1"/>
    <w:next w:val="1"/>
    <w:qFormat/>
    <w:uiPriority w:val="0"/>
    <w:pPr>
      <w:spacing w:before="100" w:beforeAutospacing="1" w:after="100" w:afterAutospacing="1"/>
      <w:jc w:val="left"/>
      <w:outlineLvl w:val="2"/>
    </w:pPr>
    <w:rPr>
      <w:rFonts w:hint="eastAsia" w:ascii="宋体" w:hAnsi="宋体"/>
      <w:b/>
      <w:kern w:val="0"/>
      <w:sz w:val="27"/>
      <w:szCs w:val="27"/>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1"/>
    <w:qFormat/>
    <w:uiPriority w:val="99"/>
    <w:pPr>
      <w:tabs>
        <w:tab w:val="center" w:pos="4153"/>
        <w:tab w:val="right" w:pos="8306"/>
      </w:tabs>
      <w:snapToGrid w:val="0"/>
      <w:jc w:val="left"/>
    </w:pPr>
    <w:rPr>
      <w:sz w:val="18"/>
      <w:szCs w:val="18"/>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页眉 Char"/>
    <w:basedOn w:val="9"/>
    <w:link w:val="5"/>
    <w:qFormat/>
    <w:uiPriority w:val="0"/>
    <w:rPr>
      <w:rFonts w:asciiTheme="minorHAnsi" w:hAnsiTheme="minorHAnsi" w:eastAsiaTheme="minorEastAsia" w:cstheme="minorBidi"/>
      <w:kern w:val="2"/>
      <w:sz w:val="18"/>
      <w:szCs w:val="18"/>
    </w:rPr>
  </w:style>
  <w:style w:type="character" w:customStyle="1" w:styleId="11">
    <w:name w:val="页脚 Char"/>
    <w:basedOn w:val="9"/>
    <w:link w:val="4"/>
    <w:qFormat/>
    <w:uiPriority w:val="99"/>
    <w:rPr>
      <w:rFonts w:asciiTheme="minorHAnsi" w:hAnsiTheme="minorHAnsi" w:eastAsiaTheme="minorEastAsia" w:cstheme="minorBidi"/>
      <w:kern w:val="2"/>
      <w:sz w:val="18"/>
      <w:szCs w:val="18"/>
    </w:rPr>
  </w:style>
  <w:style w:type="character" w:customStyle="1" w:styleId="12">
    <w:name w:val="font51"/>
    <w:basedOn w:val="9"/>
    <w:qFormat/>
    <w:uiPriority w:val="0"/>
    <w:rPr>
      <w:rFonts w:hint="eastAsia" w:ascii="宋体" w:hAnsi="宋体" w:eastAsia="宋体" w:cs="宋体"/>
      <w:color w:val="000000"/>
      <w:sz w:val="16"/>
      <w:szCs w:val="16"/>
      <w:u w:val="none"/>
    </w:rPr>
  </w:style>
  <w:style w:type="character" w:customStyle="1" w:styleId="13">
    <w:name w:val="font61"/>
    <w:basedOn w:val="9"/>
    <w:qFormat/>
    <w:uiPriority w:val="0"/>
    <w:rPr>
      <w:rFonts w:hint="eastAsia" w:ascii="黑体" w:hAnsi="宋体" w:eastAsia="黑体" w:cs="黑体"/>
      <w:b/>
      <w:bCs/>
      <w:color w:val="000000"/>
      <w:sz w:val="16"/>
      <w:szCs w:val="16"/>
      <w:u w:val="none"/>
    </w:rPr>
  </w:style>
  <w:style w:type="character" w:customStyle="1" w:styleId="14">
    <w:name w:val="font41"/>
    <w:basedOn w:val="9"/>
    <w:qFormat/>
    <w:uiPriority w:val="0"/>
    <w:rPr>
      <w:rFonts w:hint="eastAsia" w:ascii="黑体" w:hAnsi="宋体" w:eastAsia="黑体" w:cs="黑体"/>
      <w:color w:val="000000"/>
      <w:sz w:val="16"/>
      <w:szCs w:val="16"/>
      <w:u w:val="none"/>
    </w:rPr>
  </w:style>
  <w:style w:type="character" w:customStyle="1" w:styleId="15">
    <w:name w:val="font81"/>
    <w:basedOn w:val="9"/>
    <w:qFormat/>
    <w:uiPriority w:val="0"/>
    <w:rPr>
      <w:rFonts w:hint="eastAsia" w:ascii="宋体" w:hAnsi="宋体" w:eastAsia="宋体" w:cs="宋体"/>
      <w:color w:val="000000"/>
      <w:sz w:val="16"/>
      <w:szCs w:val="16"/>
      <w:u w:val="none"/>
    </w:rPr>
  </w:style>
  <w:style w:type="character" w:customStyle="1" w:styleId="16">
    <w:name w:val="font31"/>
    <w:basedOn w:val="9"/>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县国土局</Company>
  <Pages>4</Pages>
  <Words>1003</Words>
  <Characters>1083</Characters>
  <Lines>9</Lines>
  <Paragraphs>2</Paragraphs>
  <TotalTime>2</TotalTime>
  <ScaleCrop>false</ScaleCrop>
  <LinksUpToDate>false</LinksUpToDate>
  <CharactersWithSpaces>1083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2023-11-16T13:56:00Z</dcterms:created>
  <dc:creator>超儿</dc:creator>
  <cp:lastModifiedBy>李隆基</cp:lastModifiedBy>
  <dcterms:modified xsi:type="dcterms:W3CDTF">2026-09-28T06:46:41Z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6ABB20FF40854253AB2AFA5A4E025138_13</vt:lpwstr>
  </property>
  <property fmtid="{D5CDD505-2E9C-101B-9397-08002B2CF9AE}" pid="4" name="KSOTemplateDocerSaveRecord">
    <vt:lpwstr>eyJoZGlkIjoiZTMwZTcxNjJjZjA2MjYyZWNkNzRkNTIwMWEzYWZlODQiLCJ1c2VySWQiOiIyMDEyMzUwMTMifQ==</vt:lpwstr>
  </property>
</Properties>
</file>