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关于</w:t>
      </w:r>
      <w:r>
        <w:rPr>
          <w:rFonts w:hint="eastAsia"/>
          <w:sz w:val="36"/>
          <w:szCs w:val="36"/>
        </w:rPr>
        <w:t>三公经费增减变化原因等说明信息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2016年“三公”经费支出情况是：因公出国（境）费、公务接待费、公务用车购置费本年度与上年度一样没有支出；本年度公务用车运行费比上年度有所增加，主要是2015年区直机关公务用车改革期间对公务车辆进行封存，2016年已经改封并运行。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揭阳市揭东区统计局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2017年10月30日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44DF"/>
    <w:rsid w:val="331F4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