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2017</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揭阳市揭东区统计局</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揭阳市揭东区统计局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bookmarkStart w:id="0" w:name="_GoBack"/>
      <w:r>
        <w:rPr>
          <w:rFonts w:hint="eastAsia" w:ascii="黑体" w:hAnsi="黑体" w:eastAsia="黑体" w:cs="黑体"/>
          <w:sz w:val="32"/>
          <w:szCs w:val="32"/>
          <w:lang w:val="en-US" w:eastAsia="zh-CN"/>
        </w:rPr>
        <w:t>2017</w:t>
      </w:r>
      <w:bookmarkEnd w:id="0"/>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2017</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揭阳市揭东区统计局</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1、贯彻执行国家和省、市有关统计工作的方针政策、方法制度和法律法规，拟定统计工作规划和调查计划并组织实施；负责指导、组织和协调全区统计工作，确保统计数据真实、准确、及时；监督检查统计法律、法规和制度的实施。 </w:t>
      </w:r>
    </w:p>
    <w:p>
      <w:p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2、拟订地方统计报表制度，组织实施全区国民经济核算制度和投入产出调查，核算全区生产总值，汇编提供国民经济核算资料，监督管理全区国民经济核算工作。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3、会同有关部门拟订重大区情区力普查计划、方案，组织实施全区人口、经济、农业等重大区情区力普查，汇总、整理和提供有关区情区力方面的统计数据。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4、组织实施农林牧渔业、工业、建筑业、批发和零售业、住宿和餐饮业、房地产业等统计调查，收集、汇总、整理和提供有关调查的统计数据，综合整理和提供地质勘查、旅游、对外经济、交通运输、邮政、教育、卫生、社会保障、公用事业等全区性基本统计数据。 </w:t>
      </w:r>
    </w:p>
    <w:p>
      <w:p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5、组织实施能源、投资、科技、人口、劳动力、工资和社会发展基本情况等统计调查，收集、汇总、整理和提供有关调查的统计数据；组织实施服务业统计制度，收集和综合整理相关服务业统计数据。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6、组织全区各地、各部门的经济、社会、科技和资源环境统计调查，统一核定、管理、公布全区性基本统计资料，定期发布全区国民经济和社会发展情况的统计信息。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7、对国民经济、社会发展等情况进行统计分析、统计预测和统计监督，向区委、区政府及有关部门提供统计信息和咨询建议。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8、依法审批区直各部门统计调查项目、方案，指导专业统计基础建设工作，统计基础工作规范化建设，建立健全统计数据质量审核、监控和评估制度，开展对重要统计数据的审核、监控和评估，依法监督管理涉外调查活动。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9、指导全区统计专业技术队伍建设，会同有关部门组织管理全区统计专业技术资格考试、从业资格认定工作，会同有关部门监督管理镇（街道、开发区）级政府（办事处、管委会）统计部门由中央、省、市、县级财政提供的统计经费和专项基本建设。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10、建立并管理统计信息化系统会同统计数据库系统，指导各地、各部门统计数据库和网络的基本标准和运行规则的实施工作，指导全区统计信息化系统建设。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11、配合做好市对我区党政领导班子和领导干部的考核评估工作。负责对各镇（街道、开发区）相关指标数据的收集、审核并参与考评工作。 </w:t>
      </w:r>
    </w:p>
    <w:p>
      <w:pPr>
        <w:ind w:firstLine="640"/>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12、承办区人民政府和上级统计部门交办的其他事项。 </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揭阳市揭东区统计局是</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级财政预算单位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不是汇总单位。</w:t>
      </w:r>
    </w:p>
    <w:p>
      <w:pPr>
        <w:numPr>
          <w:ilvl w:val="0"/>
          <w:numId w:val="0"/>
        </w:numPr>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本部门内设机构</w:t>
      </w:r>
      <w:r>
        <w:rPr>
          <w:rFonts w:hint="eastAsia" w:ascii="仿宋_GB2312" w:hAnsi="仿宋_GB2312" w:eastAsia="仿宋_GB2312" w:cs="仿宋_GB2312"/>
          <w:sz w:val="32"/>
          <w:szCs w:val="32"/>
          <w:lang w:val="en-US" w:eastAsia="zh-CN"/>
        </w:rPr>
        <w:t>4个，下辖事业单位1个。</w:t>
      </w:r>
      <w:r>
        <w:rPr>
          <w:rFonts w:hint="eastAsia" w:ascii="仿宋_GB2312" w:hAnsi="仿宋_GB2312" w:eastAsia="仿宋_GB2312" w:cs="仿宋_GB2312"/>
          <w:sz w:val="32"/>
          <w:szCs w:val="32"/>
        </w:rPr>
        <w:t>人员构成情况：</w:t>
      </w:r>
      <w:r>
        <w:rPr>
          <w:rFonts w:hint="eastAsia" w:ascii="仿宋_GB2312" w:hAnsi="仿宋_GB2312" w:eastAsia="仿宋_GB2312" w:cs="仿宋_GB2312"/>
          <w:sz w:val="32"/>
          <w:szCs w:val="32"/>
          <w:lang w:eastAsia="zh-CN"/>
        </w:rPr>
        <w:t>行政编制</w:t>
      </w:r>
      <w:r>
        <w:rPr>
          <w:rFonts w:hint="eastAsia" w:ascii="仿宋_GB2312" w:hAnsi="仿宋_GB2312" w:eastAsia="仿宋_GB2312" w:cs="仿宋_GB2312"/>
          <w:sz w:val="32"/>
          <w:szCs w:val="32"/>
          <w:lang w:val="en-US" w:eastAsia="zh-CN"/>
        </w:rPr>
        <w:t>9名，后勤2名，事业4名；实有行政8名，后勤2名，事业3名。</w:t>
      </w:r>
    </w:p>
    <w:p>
      <w:pPr>
        <w:jc w:val="both"/>
        <w:rPr>
          <w:rFonts w:ascii="楷体_GB2312" w:hAnsi="楷体_GB2312" w:eastAsia="楷体_GB2312" w:cs="Times New Roman"/>
          <w:b/>
          <w:bCs/>
          <w:color w:val="FF0000"/>
          <w:sz w:val="32"/>
          <w:szCs w:val="32"/>
          <w:highlight w:val="lightGray"/>
          <w:u w:val="single"/>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2017</w:t>
      </w:r>
      <w:r>
        <w:rPr>
          <w:rFonts w:hint="eastAsia" w:ascii="方正小标宋简体" w:hAnsi="方正小标宋简体" w:eastAsia="方正小标宋简体" w:cs="方正小标宋简体"/>
          <w:sz w:val="44"/>
          <w:szCs w:val="44"/>
        </w:rPr>
        <w:t>年部门预算表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另附</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rPr>
        <w:t>。</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2017</w:t>
      </w:r>
      <w:r>
        <w:rPr>
          <w:rFonts w:hint="eastAsia" w:ascii="方正小标宋简体" w:hAnsi="方正小标宋简体" w:eastAsia="方正小标宋简体" w:cs="方正小标宋简体"/>
          <w:sz w:val="44"/>
          <w:szCs w:val="44"/>
        </w:rPr>
        <w:t>年部门预算情况说明</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 w:hAnsi="仿宋" w:eastAsia="仿宋" w:cs="仿宋"/>
          <w:color w:val="333333"/>
          <w:kern w:val="0"/>
          <w:sz w:val="32"/>
          <w:szCs w:val="32"/>
          <w:lang w:val="en-US" w:eastAsia="zh-CN" w:bidi="ar"/>
        </w:rPr>
        <w:t>2017年一般公共预算收入271.42万元，其中一般公共预算经费拨款271.42万元；2017年预算支出271.42万元，其中基本支出119.52万元，项目支出151.90万元，预算收入和支出均比上年度增加约41万元，主要是增加政府雇员人数、第三次全国农业普查和调查专项经费等项目方面预算收支增加。</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 w:hAnsi="仿宋" w:eastAsia="仿宋" w:cs="仿宋"/>
          <w:color w:val="333333"/>
          <w:kern w:val="0"/>
          <w:sz w:val="32"/>
          <w:szCs w:val="32"/>
          <w:lang w:val="en-US" w:eastAsia="zh-CN" w:bidi="ar"/>
        </w:rPr>
        <w:t>三公经费预算安排情况：没有因公出国（境）费用和公务接待费；公务车经费预算3万元（其中公务用车运行维护费3万元）。</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ind w:firstLine="645"/>
        <w:rPr>
          <w:rFonts w:ascii="仿宋_GB2312" w:hAnsi="仿宋_GB2312" w:eastAsia="仿宋_GB2312" w:cs="Times New Roman"/>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119.52</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基本持平</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日，本部门占有使用国有资产</w:t>
      </w:r>
      <w:r>
        <w:rPr>
          <w:rFonts w:hint="eastAsia" w:ascii="仿宋_GB2312" w:hAnsi="仿宋_GB2312" w:eastAsia="仿宋_GB2312" w:cs="仿宋_GB2312"/>
          <w:sz w:val="32"/>
          <w:szCs w:val="32"/>
          <w:lang w:val="en-US" w:eastAsia="zh-CN"/>
        </w:rPr>
        <w:t>1563180.01元</w:t>
      </w:r>
      <w:r>
        <w:rPr>
          <w:rFonts w:hint="eastAsia" w:ascii="仿宋_GB2312" w:hAnsi="仿宋_GB2312" w:eastAsia="仿宋_GB2312" w:cs="仿宋_GB2312"/>
          <w:sz w:val="32"/>
          <w:szCs w:val="32"/>
        </w:rPr>
        <w:t>，分布构成情况为：</w:t>
      </w:r>
      <w:r>
        <w:rPr>
          <w:rFonts w:hint="eastAsia" w:ascii="仿宋_GB2312" w:hAnsi="仿宋_GB2312" w:eastAsia="仿宋_GB2312" w:cs="仿宋_GB2312"/>
          <w:sz w:val="32"/>
          <w:szCs w:val="32"/>
          <w:lang w:eastAsia="zh-CN"/>
        </w:rPr>
        <w:t>通用设备</w:t>
      </w:r>
      <w:r>
        <w:rPr>
          <w:rFonts w:hint="eastAsia" w:ascii="仿宋_GB2312" w:hAnsi="仿宋_GB2312" w:eastAsia="仿宋_GB2312" w:cs="仿宋_GB2312"/>
          <w:sz w:val="32"/>
          <w:szCs w:val="32"/>
          <w:lang w:val="en-US" w:eastAsia="zh-CN"/>
        </w:rPr>
        <w:t>1488748元（其中汽车193426元）；</w:t>
      </w:r>
      <w:r>
        <w:rPr>
          <w:rFonts w:hint="eastAsia" w:ascii="仿宋_GB2312" w:hAnsi="仿宋_GB2312" w:eastAsia="仿宋_GB2312" w:cs="仿宋_GB2312"/>
          <w:sz w:val="32"/>
          <w:szCs w:val="32"/>
          <w:lang w:eastAsia="zh-CN"/>
        </w:rPr>
        <w:t>家具用具、装具及动植物</w:t>
      </w:r>
      <w:r>
        <w:rPr>
          <w:rFonts w:hint="eastAsia" w:ascii="仿宋_GB2312" w:hAnsi="仿宋_GB2312" w:eastAsia="仿宋_GB2312" w:cs="仿宋_GB2312"/>
          <w:sz w:val="32"/>
          <w:szCs w:val="32"/>
          <w:lang w:val="en-US" w:eastAsia="zh-CN"/>
        </w:rPr>
        <w:t>74432.01</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Times New Roman"/>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一、财政拨款收入：指财政当年拨付的资金事业收入。</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二、其他收入：指除上述“财政拨款收入”、“事业收入”、“经营收入”等以外的收入。主要是非本级财政拨款、存款利息收入、事业单位固定资产出租收入等。</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三、年初结转和结余：指以前年度尚未完成、结转到本年按有关规定继续使用的资金。</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四、年末结转和结余：指本年度或以前年度预算安排、因客观条件发生变化无法按原计划实施，需要延迟到以后年度按有关规定继续使用的资金。</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五、基本支出：指为保障机构正常运转、完成日常工作任务面发生的人员支出和公用支出。</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六、项目支出：指在基本支出这外为完成特定行政任务和事业发展目标所发生的支出。</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七、“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Times New Roman"/>
          <w:sz w:val="32"/>
          <w:szCs w:val="32"/>
        </w:rPr>
        <w:t>八、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02F72145"/>
    <w:rsid w:val="13016A31"/>
    <w:rsid w:val="17FF78EB"/>
    <w:rsid w:val="20EE6A13"/>
    <w:rsid w:val="36E602DD"/>
    <w:rsid w:val="4E6D3660"/>
    <w:rsid w:val="50CB6A87"/>
    <w:rsid w:val="526B0AA0"/>
    <w:rsid w:val="54EE65C0"/>
    <w:rsid w:val="60E37A9B"/>
    <w:rsid w:val="66D06120"/>
    <w:rsid w:val="6D9B07DA"/>
    <w:rsid w:val="78EF1996"/>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rFonts w:ascii="Calibri" w:hAnsi="Calibri" w:cs="Calibri"/>
      <w:kern w:val="2"/>
      <w:sz w:val="18"/>
      <w:szCs w:val="18"/>
    </w:rPr>
  </w:style>
  <w:style w:type="character" w:customStyle="1" w:styleId="7">
    <w:name w:val="Footer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2018-04-07T08:14:06Z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