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p>
    <w:p>
      <w:pPr>
        <w:jc w:val="center"/>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lang w:val="en-US" w:eastAsia="zh-CN"/>
        </w:rPr>
        <w:t>2018</w:t>
      </w:r>
      <w:r>
        <w:rPr>
          <w:rFonts w:hint="eastAsia" w:ascii="方正小标宋简体" w:hAnsi="方正小标宋简体" w:eastAsia="方正小标宋简体" w:cs="方正小标宋简体"/>
          <w:sz w:val="84"/>
          <w:szCs w:val="84"/>
        </w:rPr>
        <w:t>年</w:t>
      </w:r>
    </w:p>
    <w:p>
      <w:pPr>
        <w:jc w:val="center"/>
        <w:rPr>
          <w:rFonts w:ascii="方正小标宋简体" w:hAnsi="方正小标宋简体" w:eastAsia="方正小标宋简体" w:cs="Times New Roman"/>
          <w:sz w:val="84"/>
          <w:szCs w:val="84"/>
        </w:rPr>
      </w:pPr>
      <w:r>
        <w:rPr>
          <w:rFonts w:hint="eastAsia" w:ascii="方正小标宋简体" w:hAnsi="方正小标宋简体" w:eastAsia="方正小标宋简体" w:cs="方正小标宋简体"/>
          <w:sz w:val="84"/>
          <w:szCs w:val="84"/>
          <w:lang w:eastAsia="zh-CN"/>
        </w:rPr>
        <w:t>揭阳市揭东区统计局</w:t>
      </w:r>
      <w:r>
        <w:rPr>
          <w:rFonts w:hint="eastAsia" w:ascii="方正小标宋简体" w:hAnsi="方正小标宋简体" w:eastAsia="方正小标宋简体" w:cs="方正小标宋简体"/>
          <w:sz w:val="84"/>
          <w:szCs w:val="84"/>
        </w:rPr>
        <w:t>部门预算</w:t>
      </w:r>
    </w:p>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p>
    <w:p>
      <w:pPr>
        <w:jc w:val="center"/>
        <w:rPr>
          <w:rFonts w:ascii="黑体" w:hAnsi="黑体" w:eastAsia="黑体" w:cs="Times New Roman"/>
          <w:sz w:val="44"/>
          <w:szCs w:val="44"/>
        </w:rPr>
      </w:pPr>
      <w:r>
        <w:rPr>
          <w:rFonts w:ascii="方正小标宋简体" w:hAnsi="方正小标宋简体" w:eastAsia="方正小标宋简体" w:cs="Times New Roman"/>
          <w:sz w:val="84"/>
          <w:szCs w:val="84"/>
        </w:rPr>
        <w:br w:type="page"/>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jc w:val="center"/>
        <w:rPr>
          <w:rFonts w:ascii="黑体" w:hAnsi="黑体" w:eastAsia="黑体" w:cs="Times New Roman"/>
          <w:sz w:val="44"/>
          <w:szCs w:val="44"/>
        </w:rPr>
      </w:pPr>
    </w:p>
    <w:p>
      <w:pPr>
        <w:ind w:firstLine="640" w:firstLineChars="200"/>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lang w:eastAsia="zh-CN"/>
        </w:rPr>
        <w:t>揭阳市揭东区统计局</w:t>
      </w:r>
      <w:r>
        <w:rPr>
          <w:rFonts w:hint="eastAsia" w:ascii="黑体" w:hAnsi="黑体" w:eastAsia="黑体" w:cs="黑体"/>
          <w:sz w:val="32"/>
          <w:szCs w:val="32"/>
        </w:rPr>
        <w:t>概况</w:t>
      </w:r>
    </w:p>
    <w:p>
      <w:pPr>
        <w:numPr>
          <w:ilvl w:val="0"/>
          <w:numId w:val="1"/>
        </w:num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主要职责</w:t>
      </w:r>
    </w:p>
    <w:p>
      <w:pPr>
        <w:numPr>
          <w:ilvl w:val="0"/>
          <w:numId w:val="1"/>
        </w:num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机构设置</w:t>
      </w:r>
    </w:p>
    <w:p>
      <w:pPr>
        <w:ind w:firstLine="640" w:firstLineChars="200"/>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w:t>
      </w:r>
      <w:r>
        <w:rPr>
          <w:rFonts w:hint="eastAsia" w:ascii="黑体" w:hAnsi="黑体" w:eastAsia="黑体" w:cs="黑体"/>
          <w:sz w:val="32"/>
          <w:szCs w:val="32"/>
          <w:lang w:val="en-US" w:eastAsia="zh-CN"/>
        </w:rPr>
        <w:t>2018</w:t>
      </w:r>
      <w:r>
        <w:rPr>
          <w:rFonts w:hint="eastAsia" w:ascii="黑体" w:hAnsi="黑体" w:eastAsia="黑体" w:cs="黑体"/>
          <w:sz w:val="32"/>
          <w:szCs w:val="32"/>
        </w:rPr>
        <w:t>年部门预算表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收支总体情况表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收入总体情况表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支出总体情况表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财政拨款收支总体情况表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一般公共预算支出情况表（按功能分类科目）</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一般公共预算基本支出情况表（按支出经济分类科目）</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一般公共预算项目支出情况表（按支出经济分类科目）</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一般公共预算安排的行政经费及“三公”经费预算表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政府性基金预算支出情况表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部门预算基本支出预算表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部门预算项目支出及其他支出预算表</w:t>
      </w:r>
    </w:p>
    <w:p>
      <w:pPr>
        <w:ind w:firstLine="640" w:firstLineChars="200"/>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lang w:val="en-US" w:eastAsia="zh-CN"/>
        </w:rPr>
        <w:t>2018</w:t>
      </w:r>
      <w:r>
        <w:rPr>
          <w:rFonts w:hint="eastAsia" w:ascii="黑体" w:hAnsi="黑体" w:eastAsia="黑体" w:cs="黑体"/>
          <w:sz w:val="32"/>
          <w:szCs w:val="32"/>
        </w:rPr>
        <w:t>年部门预算情况说明</w:t>
      </w:r>
    </w:p>
    <w:p>
      <w:pPr>
        <w:ind w:firstLine="640" w:firstLineChars="200"/>
        <w:rPr>
          <w:rFonts w:ascii="黑体" w:hAnsi="黑体" w:eastAsia="黑体" w:cs="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第一部分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eastAsia="zh-CN"/>
        </w:rPr>
        <w:t>揭阳市揭东区统计局</w:t>
      </w:r>
      <w:r>
        <w:rPr>
          <w:rFonts w:hint="eastAsia" w:ascii="方正小标宋简体" w:hAnsi="方正小标宋简体" w:eastAsia="方正小标宋简体" w:cs="方正小标宋简体"/>
          <w:sz w:val="44"/>
          <w:szCs w:val="44"/>
        </w:rPr>
        <w:t>概况</w:t>
      </w:r>
    </w:p>
    <w:p>
      <w:pPr>
        <w:rPr>
          <w:rFonts w:ascii="黑体" w:hAnsi="黑体" w:eastAsia="黑体" w:cs="Times New Roman"/>
          <w:sz w:val="44"/>
          <w:szCs w:val="44"/>
        </w:rPr>
      </w:pPr>
    </w:p>
    <w:p>
      <w:pPr>
        <w:numPr>
          <w:ilvl w:val="0"/>
          <w:numId w:val="3"/>
        </w:numPr>
        <w:ind w:firstLine="640"/>
        <w:rPr>
          <w:rFonts w:ascii="黑体" w:hAnsi="黑体" w:eastAsia="黑体" w:cs="Times New Roman"/>
          <w:sz w:val="32"/>
          <w:szCs w:val="32"/>
        </w:rPr>
      </w:pPr>
      <w:r>
        <w:rPr>
          <w:rFonts w:hint="eastAsia" w:ascii="黑体" w:hAnsi="黑体" w:eastAsia="黑体" w:cs="黑体"/>
          <w:sz w:val="32"/>
          <w:szCs w:val="32"/>
        </w:rPr>
        <w:t>主要职责</w:t>
      </w:r>
    </w:p>
    <w:p>
      <w:pPr>
        <w:ind w:firstLine="64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 xml:space="preserve"> 1、贯彻执行国家和省、市有关统计工作的方针政策、方法制度和法律法规，拟定统计工作规划和调查计划并组织实施；负责指导、组织和协调全区统计工作，确保统计数据真实、准确、及时；监督检查统计法律、法规和制度的实施。 </w:t>
      </w:r>
    </w:p>
    <w:p>
      <w:pPr>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 xml:space="preserve">2、拟订地方统计报表制度，组织实施全区国民经济核算制度和投入产出调查，核算全区生产总值，汇编提供国民经济核算资料，监督管理全区国民经济核算工作。 </w:t>
      </w:r>
    </w:p>
    <w:p>
      <w:pPr>
        <w:ind w:firstLine="64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 xml:space="preserve">3、会同有关部门拟订重大区情区力普查计划、方案，组织实施全区人口、经济、农业等重大区情区力普查，汇总、整理和提供有关区情区力方面的统计数据。 </w:t>
      </w:r>
    </w:p>
    <w:p>
      <w:pPr>
        <w:ind w:firstLine="64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 xml:space="preserve">4、组织实施农林牧渔业、工业、建筑业、批发和零售业、住宿和餐饮业、房地产业等统计调查，收集、汇总、整理和提供有关调查的统计数据，综合整理和提供地质勘查、旅游、对外经济、交通运输、邮政、教育、卫生、社会保障、公用事业等全区性基本统计数据。 </w:t>
      </w:r>
    </w:p>
    <w:p>
      <w:pPr>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 xml:space="preserve">5、组织实施能源、投资、科技、人口、劳动力、工资和社会发展基本情况等统计调查，收集、汇总、整理和提供有关调查的统计数据；组织实施服务业统计制度，收集和综合整理相关服务业统计数据。 </w:t>
      </w:r>
    </w:p>
    <w:p>
      <w:pPr>
        <w:ind w:firstLine="64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 xml:space="preserve">6、组织全区各地、各部门的经济、社会、科技和资源环境统计调查，统一核定、管理、公布全区性基本统计资料，定期发布全区国民经济和社会发展情况的统计信息。 </w:t>
      </w:r>
    </w:p>
    <w:p>
      <w:pPr>
        <w:ind w:firstLine="64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 xml:space="preserve">7、对国民经济、社会发展等情况进行统计分析、统计预测和统计监督，向区委、区政府及有关部门提供统计信息和咨询建议。 </w:t>
      </w:r>
    </w:p>
    <w:p>
      <w:pPr>
        <w:ind w:firstLine="64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 xml:space="preserve">8、依法审批区直各部门统计调查项目、方案，指导专业统计基础建设工作，统计基础工作规范化建设，建立健全统计数据质量审核、监控和评估制度，开展对重要统计数据的审核、监控和评估，依法监督管理涉外调查活动。 </w:t>
      </w:r>
    </w:p>
    <w:p>
      <w:pPr>
        <w:ind w:firstLine="64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 xml:space="preserve">9、指导全区统计专业技术队伍建设，会同有关部门组织管理全区统计专业技术资格考试、从业资格认定工作，会同有关部门监督管理镇（街道、开发区）级政府（办事处、管委会）统计部门由中央、省、市、县级财政提供的统计经费和专项基本建设。 </w:t>
      </w:r>
    </w:p>
    <w:p>
      <w:pPr>
        <w:ind w:firstLine="64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 xml:space="preserve">10、建立并管理统计信息化系统会同统计数据库系统，指导各地、各部门统计数据库和网络的基本标准和运行规则的实施工作，指导全区统计信息化系统建设。 </w:t>
      </w:r>
    </w:p>
    <w:p>
      <w:pPr>
        <w:ind w:firstLine="64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 xml:space="preserve">11、配合做好市对我区党政领导班子和领导干部的考核评估工作。负责对各镇（街道、开发区）相关指标数据的收集、审核并参与考评工作。 </w:t>
      </w:r>
    </w:p>
    <w:p>
      <w:pPr>
        <w:ind w:firstLine="640"/>
        <w:rPr>
          <w:rFonts w:ascii="仿宋_GB2312" w:hAnsi="仿宋_GB2312" w:eastAsia="仿宋_GB2312" w:cs="Times New Roman"/>
          <w:sz w:val="32"/>
          <w:szCs w:val="32"/>
        </w:rPr>
      </w:pPr>
      <w:r>
        <w:rPr>
          <w:rFonts w:hint="eastAsia" w:ascii="仿宋_GB2312" w:hAnsi="仿宋_GB2312" w:eastAsia="仿宋_GB2312" w:cs="Times New Roman"/>
          <w:sz w:val="32"/>
          <w:szCs w:val="32"/>
        </w:rPr>
        <w:t xml:space="preserve">12、承办区人民政府和上级统计部门交办的其他事项。 </w:t>
      </w:r>
    </w:p>
    <w:p>
      <w:pPr>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二、机构设置</w:t>
      </w:r>
    </w:p>
    <w:p>
      <w:pPr>
        <w:rPr>
          <w:rFonts w:ascii="仿宋_GB2312" w:hAnsi="仿宋_GB2312" w:eastAsia="仿宋_GB2312" w:cs="Times New Roman"/>
          <w:sz w:val="32"/>
          <w:szCs w:val="32"/>
        </w:rPr>
      </w:pPr>
      <w:r>
        <w:rPr>
          <w:rFonts w:hint="eastAsia" w:ascii="仿宋_GB2312" w:hAnsi="仿宋_GB2312" w:eastAsia="仿宋_GB2312" w:cs="仿宋_GB2312"/>
          <w:sz w:val="32"/>
          <w:szCs w:val="32"/>
          <w:lang w:eastAsia="zh-CN"/>
        </w:rPr>
        <w:t>揭阳市揭东区统计局是</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级财政预算单位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不是汇总单位。</w:t>
      </w:r>
    </w:p>
    <w:p>
      <w:pPr>
        <w:numPr>
          <w:numId w:val="0"/>
        </w:numPr>
        <w:rPr>
          <w:rFonts w:ascii="仿宋_GB2312" w:hAnsi="仿宋_GB2312" w:eastAsia="仿宋_GB2312" w:cs="Times New Roman"/>
          <w:sz w:val="32"/>
          <w:szCs w:val="32"/>
        </w:rPr>
      </w:pPr>
      <w:r>
        <w:rPr>
          <w:rFonts w:hint="eastAsia" w:ascii="仿宋_GB2312" w:hAnsi="仿宋_GB2312" w:eastAsia="仿宋_GB2312" w:cs="仿宋_GB2312"/>
          <w:sz w:val="32"/>
          <w:szCs w:val="32"/>
        </w:rPr>
        <w:t>本部门内设机构</w:t>
      </w:r>
      <w:r>
        <w:rPr>
          <w:rFonts w:hint="eastAsia" w:ascii="仿宋_GB2312" w:hAnsi="仿宋_GB2312" w:eastAsia="仿宋_GB2312" w:cs="仿宋_GB2312"/>
          <w:sz w:val="32"/>
          <w:szCs w:val="32"/>
          <w:lang w:val="en-US" w:eastAsia="zh-CN"/>
        </w:rPr>
        <w:t>4个，下辖事业单位1个。</w:t>
      </w:r>
      <w:r>
        <w:rPr>
          <w:rFonts w:hint="eastAsia" w:ascii="仿宋_GB2312" w:hAnsi="仿宋_GB2312" w:eastAsia="仿宋_GB2312" w:cs="仿宋_GB2312"/>
          <w:sz w:val="32"/>
          <w:szCs w:val="32"/>
        </w:rPr>
        <w:t>人员构成情况：</w:t>
      </w:r>
      <w:r>
        <w:rPr>
          <w:rFonts w:hint="eastAsia" w:ascii="仿宋_GB2312" w:hAnsi="仿宋_GB2312" w:eastAsia="仿宋_GB2312" w:cs="仿宋_GB2312"/>
          <w:sz w:val="32"/>
          <w:szCs w:val="32"/>
          <w:lang w:eastAsia="zh-CN"/>
        </w:rPr>
        <w:t>行政编制</w:t>
      </w:r>
      <w:r>
        <w:rPr>
          <w:rFonts w:hint="eastAsia" w:ascii="仿宋_GB2312" w:hAnsi="仿宋_GB2312" w:eastAsia="仿宋_GB2312" w:cs="仿宋_GB2312"/>
          <w:sz w:val="32"/>
          <w:szCs w:val="32"/>
          <w:lang w:val="en-US" w:eastAsia="zh-CN"/>
        </w:rPr>
        <w:t>9名，后勤2名，事业4名；实有行政8名，后勤2名，事业3名。</w:t>
      </w:r>
    </w:p>
    <w:p>
      <w:pPr>
        <w:jc w:val="both"/>
        <w:rPr>
          <w:rFonts w:ascii="楷体_GB2312" w:hAnsi="楷体_GB2312" w:eastAsia="楷体_GB2312" w:cs="Times New Roman"/>
          <w:b/>
          <w:bCs/>
          <w:color w:val="FF0000"/>
          <w:sz w:val="32"/>
          <w:szCs w:val="32"/>
          <w:highlight w:val="lightGray"/>
          <w:u w:val="single"/>
        </w:rPr>
      </w:pPr>
      <w:r>
        <w:rPr>
          <w:rFonts w:hint="eastAsia" w:ascii="方正小标宋简体" w:hAnsi="方正小标宋简体" w:eastAsia="方正小标宋简体" w:cs="方正小标宋简体"/>
          <w:sz w:val="44"/>
          <w:szCs w:val="44"/>
        </w:rPr>
        <w:t>第二部分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val="en-US" w:eastAsia="zh-CN"/>
        </w:rPr>
        <w:t>2018</w:t>
      </w:r>
      <w:r>
        <w:rPr>
          <w:rFonts w:hint="eastAsia" w:ascii="方正小标宋简体" w:hAnsi="方正小标宋简体" w:eastAsia="方正小标宋简体" w:cs="方正小标宋简体"/>
          <w:sz w:val="44"/>
          <w:szCs w:val="44"/>
        </w:rPr>
        <w:t>年部门预算表</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另附</w:t>
      </w:r>
      <w:r>
        <w:rPr>
          <w:rFonts w:hint="eastAsia" w:ascii="方正小标宋简体" w:hAnsi="方正小标宋简体" w:eastAsia="方正小标宋简体" w:cs="方正小标宋简体"/>
          <w:sz w:val="44"/>
          <w:szCs w:val="44"/>
          <w:lang w:eastAsia="zh-CN"/>
        </w:rPr>
        <w:t>表）</w:t>
      </w:r>
      <w:r>
        <w:rPr>
          <w:rFonts w:hint="eastAsia" w:ascii="方正小标宋简体" w:hAnsi="方正小标宋简体" w:eastAsia="方正小标宋简体" w:cs="方正小标宋简体"/>
          <w:sz w:val="44"/>
          <w:szCs w:val="44"/>
        </w:rPr>
        <w:t>。</w:t>
      </w:r>
    </w:p>
    <w:p>
      <w:pPr>
        <w:rPr>
          <w:rFonts w:ascii="楷体_GB2312" w:hAnsi="楷体_GB2312" w:eastAsia="楷体_GB2312" w:cs="Times New Roman"/>
          <w:sz w:val="32"/>
          <w:szCs w:val="32"/>
          <w:u w:val="single"/>
        </w:rPr>
      </w:pPr>
    </w:p>
    <w:p>
      <w:pPr>
        <w:jc w:val="center"/>
        <w:rPr>
          <w:rFonts w:ascii="方正小标宋简体" w:hAnsi="方正小标宋简体" w:eastAsia="方正小标宋简体" w:cs="Times New Roman"/>
          <w:sz w:val="44"/>
          <w:szCs w:val="44"/>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sectPr>
          <w:pgSz w:w="11906" w:h="16838"/>
          <w:pgMar w:top="1440" w:right="1800" w:bottom="1440" w:left="1800" w:header="851" w:footer="992" w:gutter="0"/>
          <w:cols w:space="425" w:num="1"/>
          <w:docGrid w:type="lines" w:linePitch="312" w:charSpace="0"/>
        </w:sectPr>
      </w:pP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第三部分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val="en-US" w:eastAsia="zh-CN"/>
        </w:rPr>
        <w:t>2018</w:t>
      </w:r>
      <w:r>
        <w:rPr>
          <w:rFonts w:hint="eastAsia" w:ascii="方正小标宋简体" w:hAnsi="方正小标宋简体" w:eastAsia="方正小标宋简体" w:cs="方正小标宋简体"/>
          <w:sz w:val="44"/>
          <w:szCs w:val="44"/>
        </w:rPr>
        <w:t>年部门预算情况说明</w:t>
      </w:r>
    </w:p>
    <w:p>
      <w:pPr>
        <w:numPr>
          <w:ilvl w:val="0"/>
          <w:numId w:val="4"/>
        </w:numPr>
        <w:ind w:firstLine="640" w:firstLineChars="200"/>
        <w:rPr>
          <w:rFonts w:ascii="黑体" w:hAnsi="黑体" w:eastAsia="黑体" w:cs="Times New Roman"/>
          <w:sz w:val="32"/>
          <w:szCs w:val="32"/>
        </w:rPr>
      </w:pPr>
      <w:r>
        <w:rPr>
          <w:rFonts w:hint="eastAsia" w:ascii="黑体" w:hAnsi="黑体" w:eastAsia="黑体" w:cs="黑体"/>
          <w:sz w:val="32"/>
          <w:szCs w:val="32"/>
        </w:rPr>
        <w:t>部门预算收支增减变化情况</w:t>
      </w:r>
    </w:p>
    <w:p>
      <w:pPr>
        <w:ind w:firstLine="640"/>
        <w:rPr>
          <w:rFonts w:ascii="黑体" w:hAnsi="黑体" w:eastAsia="黑体" w:cs="Times New Roman"/>
          <w:sz w:val="32"/>
          <w:szCs w:val="32"/>
        </w:rPr>
      </w:pPr>
      <w:r>
        <w:rPr>
          <w:rFonts w:hint="eastAsia" w:ascii="仿宋" w:hAnsi="仿宋" w:eastAsia="仿宋" w:cs="仿宋"/>
          <w:color w:val="333333"/>
          <w:kern w:val="0"/>
          <w:sz w:val="32"/>
          <w:szCs w:val="32"/>
          <w:lang w:val="en-US" w:eastAsia="zh-CN" w:bidi="ar"/>
        </w:rPr>
        <w:t>2018年一般公共预算收入392.50万元，其中一般公共预算经费拨款392.50万元；201年预算支出392.50万元，其中基本支出177.60万元，项目支出214.90万元，预算收入和支出均比上年度增加约121.08万元，主要是第四次经济普查和社会保障缴费方面预算收支增加。</w:t>
      </w:r>
      <w:r>
        <w:rPr>
          <w:rFonts w:hint="eastAsia" w:ascii="仿宋_GB2312" w:hAnsi="仿宋_GB2312" w:eastAsia="仿宋_GB2312" w:cs="仿宋_GB2312"/>
          <w:sz w:val="32"/>
          <w:szCs w:val="32"/>
        </w:rPr>
        <w:t>。</w:t>
      </w:r>
    </w:p>
    <w:p>
      <w:pPr>
        <w:numPr>
          <w:ilvl w:val="0"/>
          <w:numId w:val="4"/>
        </w:numPr>
        <w:ind w:firstLine="640" w:firstLineChars="200"/>
        <w:rPr>
          <w:rFonts w:ascii="黑体" w:hAnsi="黑体" w:eastAsia="黑体" w:cs="Times New Roman"/>
          <w:sz w:val="32"/>
          <w:szCs w:val="32"/>
        </w:rPr>
      </w:pPr>
      <w:r>
        <w:rPr>
          <w:rFonts w:hint="eastAsia" w:ascii="黑体" w:hAnsi="黑体" w:eastAsia="黑体" w:cs="黑体"/>
          <w:sz w:val="32"/>
          <w:szCs w:val="32"/>
        </w:rPr>
        <w:t>“三公”经费安排情况说明</w:t>
      </w:r>
    </w:p>
    <w:p>
      <w:pPr>
        <w:ind w:firstLine="640"/>
        <w:rPr>
          <w:rFonts w:ascii="仿宋_GB2312" w:hAnsi="仿宋_GB2312" w:eastAsia="仿宋_GB2312" w:cs="Times New Roman"/>
          <w:sz w:val="32"/>
          <w:szCs w:val="32"/>
        </w:rPr>
      </w:pPr>
      <w:r>
        <w:rPr>
          <w:rFonts w:hint="eastAsia" w:ascii="仿宋" w:hAnsi="仿宋" w:eastAsia="仿宋" w:cs="仿宋"/>
          <w:color w:val="333333"/>
          <w:kern w:val="0"/>
          <w:sz w:val="32"/>
          <w:szCs w:val="32"/>
          <w:lang w:val="en-US" w:eastAsia="zh-CN" w:bidi="ar"/>
        </w:rPr>
        <w:t>三公经费预算安排情况：没有因公出国（境）费用和公务接待费；公务车经费预算3万元（其中公务用车运行维护费3万元）</w:t>
      </w:r>
      <w:r>
        <w:rPr>
          <w:rFonts w:hint="eastAsia" w:ascii="仿宋_GB2312" w:hAnsi="仿宋_GB2312" w:eastAsia="仿宋_GB2312" w:cs="仿宋_GB2312"/>
          <w:sz w:val="32"/>
          <w:szCs w:val="32"/>
        </w:rPr>
        <w:t>。</w:t>
      </w:r>
    </w:p>
    <w:p>
      <w:pPr>
        <w:numPr>
          <w:ilvl w:val="0"/>
          <w:numId w:val="4"/>
        </w:numPr>
        <w:ind w:firstLine="640" w:firstLineChars="200"/>
        <w:rPr>
          <w:rFonts w:ascii="黑体" w:hAnsi="黑体" w:eastAsia="黑体" w:cs="Times New Roman"/>
          <w:sz w:val="32"/>
          <w:szCs w:val="32"/>
        </w:rPr>
      </w:pPr>
      <w:r>
        <w:rPr>
          <w:rFonts w:hint="eastAsia" w:ascii="黑体" w:hAnsi="黑体" w:eastAsia="黑体" w:cs="黑体"/>
          <w:sz w:val="32"/>
          <w:szCs w:val="32"/>
        </w:rPr>
        <w:t>机关运行经费安排情况</w:t>
      </w:r>
    </w:p>
    <w:p>
      <w:pPr>
        <w:ind w:firstLine="645"/>
        <w:rPr>
          <w:rFonts w:ascii="仿宋_GB2312" w:hAnsi="仿宋_GB2312" w:eastAsia="仿宋_GB2312" w:cs="Times New Roman"/>
          <w:sz w:val="32"/>
          <w:szCs w:val="32"/>
        </w:rPr>
      </w:pPr>
      <w:r>
        <w:rPr>
          <w:rFonts w:hint="eastAsia" w:ascii="仿宋_GB2312" w:hAnsi="仿宋_GB2312" w:eastAsia="仿宋_GB2312" w:cs="仿宋_GB2312"/>
          <w:sz w:val="32"/>
          <w:szCs w:val="32"/>
        </w:rPr>
        <w:t>2018年，本部门机关运行经费安排</w:t>
      </w:r>
      <w:r>
        <w:rPr>
          <w:rFonts w:hint="eastAsia" w:ascii="仿宋_GB2312" w:hAnsi="仿宋_GB2312" w:eastAsia="仿宋_GB2312" w:cs="仿宋_GB2312"/>
          <w:sz w:val="32"/>
          <w:szCs w:val="32"/>
          <w:lang w:val="en-US" w:eastAsia="zh-CN"/>
        </w:rPr>
        <w:t>177.60</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58.08</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48.59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。主要原因是人员工资福利支出增加。</w:t>
      </w:r>
    </w:p>
    <w:p>
      <w:pPr>
        <w:numPr>
          <w:ilvl w:val="0"/>
          <w:numId w:val="4"/>
        </w:numPr>
        <w:ind w:firstLine="640" w:firstLineChars="200"/>
        <w:rPr>
          <w:rFonts w:ascii="黑体" w:hAnsi="黑体" w:eastAsia="黑体" w:cs="Times New Roman"/>
          <w:sz w:val="32"/>
          <w:szCs w:val="32"/>
        </w:rPr>
      </w:pPr>
      <w:r>
        <w:rPr>
          <w:rFonts w:hint="eastAsia" w:ascii="黑体" w:hAnsi="黑体" w:eastAsia="黑体" w:cs="黑体"/>
          <w:sz w:val="32"/>
          <w:szCs w:val="32"/>
        </w:rPr>
        <w:t>政府采购情况</w:t>
      </w:r>
    </w:p>
    <w:p>
      <w:pPr>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rPr>
        <w:t>年本部门</w:t>
      </w:r>
      <w:r>
        <w:rPr>
          <w:rFonts w:hint="eastAsia" w:ascii="仿宋_GB2312" w:hAnsi="仿宋_GB2312" w:eastAsia="仿宋_GB2312" w:cs="仿宋_GB2312"/>
          <w:sz w:val="32"/>
          <w:szCs w:val="32"/>
          <w:lang w:eastAsia="zh-CN"/>
        </w:rPr>
        <w:t>没有</w:t>
      </w:r>
      <w:r>
        <w:rPr>
          <w:rFonts w:hint="eastAsia" w:ascii="仿宋_GB2312" w:hAnsi="仿宋_GB2312" w:eastAsia="仿宋_GB2312" w:cs="仿宋_GB2312"/>
          <w:sz w:val="32"/>
          <w:szCs w:val="32"/>
        </w:rPr>
        <w:t>政府采购</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w:t>
      </w:r>
    </w:p>
    <w:p>
      <w:pPr>
        <w:numPr>
          <w:ilvl w:val="0"/>
          <w:numId w:val="4"/>
        </w:numPr>
        <w:ind w:firstLine="640" w:firstLineChars="200"/>
        <w:rPr>
          <w:rFonts w:ascii="黑体" w:hAnsi="黑体" w:eastAsia="黑体" w:cs="Times New Roman"/>
          <w:sz w:val="32"/>
          <w:szCs w:val="32"/>
        </w:rPr>
      </w:pPr>
      <w:r>
        <w:rPr>
          <w:rFonts w:hint="eastAsia" w:ascii="黑体" w:hAnsi="黑体" w:eastAsia="黑体" w:cs="黑体"/>
          <w:sz w:val="32"/>
          <w:szCs w:val="32"/>
        </w:rPr>
        <w:t>国有资产占有使用情况</w:t>
      </w:r>
    </w:p>
    <w:p>
      <w:p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日，本部门占有使用国有资产</w:t>
      </w:r>
      <w:r>
        <w:rPr>
          <w:rFonts w:hint="eastAsia" w:ascii="仿宋_GB2312" w:hAnsi="仿宋_GB2312" w:eastAsia="仿宋_GB2312" w:cs="仿宋_GB2312"/>
          <w:sz w:val="32"/>
          <w:szCs w:val="32"/>
          <w:lang w:val="en-US" w:eastAsia="zh-CN"/>
        </w:rPr>
        <w:t>1549830.01元</w:t>
      </w:r>
      <w:r>
        <w:rPr>
          <w:rFonts w:hint="eastAsia" w:ascii="仿宋_GB2312" w:hAnsi="仿宋_GB2312" w:eastAsia="仿宋_GB2312" w:cs="仿宋_GB2312"/>
          <w:sz w:val="32"/>
          <w:szCs w:val="32"/>
        </w:rPr>
        <w:t>，分布构成情况为：</w:t>
      </w:r>
      <w:r>
        <w:rPr>
          <w:rFonts w:hint="eastAsia" w:ascii="仿宋_GB2312" w:hAnsi="仿宋_GB2312" w:eastAsia="仿宋_GB2312" w:cs="仿宋_GB2312"/>
          <w:sz w:val="32"/>
          <w:szCs w:val="32"/>
          <w:lang w:eastAsia="zh-CN"/>
        </w:rPr>
        <w:t>通用设备</w:t>
      </w:r>
      <w:r>
        <w:rPr>
          <w:rFonts w:hint="eastAsia" w:ascii="仿宋_GB2312" w:hAnsi="仿宋_GB2312" w:eastAsia="仿宋_GB2312" w:cs="仿宋_GB2312"/>
          <w:sz w:val="32"/>
          <w:szCs w:val="32"/>
          <w:lang w:val="en-US" w:eastAsia="zh-CN"/>
        </w:rPr>
        <w:t>1475398元（其中汽车193426元）；</w:t>
      </w:r>
      <w:r>
        <w:rPr>
          <w:rFonts w:hint="eastAsia" w:ascii="仿宋_GB2312" w:hAnsi="仿宋_GB2312" w:eastAsia="仿宋_GB2312" w:cs="仿宋_GB2312"/>
          <w:sz w:val="32"/>
          <w:szCs w:val="32"/>
          <w:lang w:eastAsia="zh-CN"/>
        </w:rPr>
        <w:t>家具用具、装具及动植物</w:t>
      </w:r>
      <w:r>
        <w:rPr>
          <w:rFonts w:hint="eastAsia" w:ascii="仿宋_GB2312" w:hAnsi="仿宋_GB2312" w:eastAsia="仿宋_GB2312" w:cs="仿宋_GB2312"/>
          <w:sz w:val="32"/>
          <w:szCs w:val="32"/>
          <w:lang w:val="en-US" w:eastAsia="zh-CN"/>
        </w:rPr>
        <w:t>74432.01</w:t>
      </w:r>
      <w:r>
        <w:rPr>
          <w:rFonts w:hint="eastAsia" w:ascii="仿宋_GB2312" w:hAnsi="仿宋_GB2312" w:eastAsia="仿宋_GB2312" w:cs="仿宋_GB2312"/>
          <w:sz w:val="32"/>
          <w:szCs w:val="32"/>
        </w:rPr>
        <w:t>。</w:t>
      </w:r>
    </w:p>
    <w:p>
      <w:pPr>
        <w:jc w:val="center"/>
        <w:rPr>
          <w:rFonts w:ascii="方正小标宋简体" w:hAnsi="方正小标宋简体" w:eastAsia="方正小标宋简体" w:cs="Times New Roman"/>
          <w:sz w:val="44"/>
          <w:szCs w:val="44"/>
        </w:rPr>
      </w:pP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第四部分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名词解释</w:t>
      </w:r>
    </w:p>
    <w:p>
      <w:pPr>
        <w:ind w:firstLine="640" w:firstLineChars="200"/>
        <w:jc w:val="left"/>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一、财政拨款收入：指财政当年拨付的资金事业收入。</w:t>
      </w:r>
    </w:p>
    <w:p>
      <w:pPr>
        <w:ind w:firstLine="640" w:firstLineChars="200"/>
        <w:jc w:val="left"/>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二、其他收入：指除上述“财政拨款收入”、“事业收入”、“经营收入”等以外的收入。主要是非本级财政拨款、存款利息收入、事业单位固定资产出租收入等。</w:t>
      </w:r>
    </w:p>
    <w:p>
      <w:pPr>
        <w:ind w:firstLine="640" w:firstLineChars="200"/>
        <w:jc w:val="left"/>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 xml:space="preserve"> 三、年初结转和结余：指以前年度尚未完成、结转到本年按有关规定继续使用的资金。</w:t>
      </w:r>
    </w:p>
    <w:p>
      <w:pPr>
        <w:ind w:firstLine="640" w:firstLineChars="200"/>
        <w:jc w:val="left"/>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 xml:space="preserve"> 四、年末结转和结余：指本年度或以前年度预算安排、因客观条件发生变化无法按原计划实施，需要延迟到以后年度按有关规定继续使用的资金。</w:t>
      </w:r>
    </w:p>
    <w:p>
      <w:pPr>
        <w:ind w:firstLine="640" w:firstLineChars="200"/>
        <w:jc w:val="left"/>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五、基本支出：指为保障机构正常运转、完成日常工作任务面发生的人员支出和公用支出。</w:t>
      </w:r>
    </w:p>
    <w:p>
      <w:pPr>
        <w:ind w:firstLine="640" w:firstLineChars="200"/>
        <w:jc w:val="left"/>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六、项目支出：指在基本支出这外为完成特定行政任务和事业发展目标所发生的支出。</w:t>
      </w:r>
    </w:p>
    <w:p>
      <w:pPr>
        <w:ind w:firstLine="640" w:firstLineChars="200"/>
        <w:jc w:val="left"/>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七、“三公”经费：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ind w:firstLine="640" w:firstLineChars="200"/>
        <w:jc w:val="left"/>
        <w:rPr>
          <w:rFonts w:ascii="仿宋_GB2312" w:hAnsi="仿宋_GB2312" w:eastAsia="仿宋_GB2312" w:cs="Times New Roman"/>
          <w:sz w:val="32"/>
          <w:szCs w:val="32"/>
        </w:rPr>
      </w:pPr>
      <w:r>
        <w:rPr>
          <w:rFonts w:hint="eastAsia" w:ascii="仿宋_GB2312" w:hAnsi="仿宋_GB2312" w:eastAsia="仿宋_GB2312" w:cs="Times New Roman"/>
          <w:sz w:val="32"/>
          <w:szCs w:val="32"/>
        </w:rPr>
        <w:t>八、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384"/>
    <w:multiLevelType w:val="singleLevel"/>
    <w:tmpl w:val="5A5F2384"/>
    <w:lvl w:ilvl="0" w:tentative="0">
      <w:start w:val="1"/>
      <w:numFmt w:val="chineseCounting"/>
      <w:suff w:val="nothing"/>
      <w:lvlText w:val="%1、"/>
      <w:lvlJc w:val="left"/>
    </w:lvl>
  </w:abstractNum>
  <w:abstractNum w:abstractNumId="2">
    <w:nsid w:val="5A5F2A51"/>
    <w:multiLevelType w:val="singleLevel"/>
    <w:tmpl w:val="5A5F2A51"/>
    <w:lvl w:ilvl="0" w:tentative="0">
      <w:start w:val="1"/>
      <w:numFmt w:val="chineseCounting"/>
      <w:suff w:val="nothing"/>
      <w:lvlText w:val="%1、"/>
      <w:lvlJc w:val="left"/>
    </w:lvl>
  </w:abstractNum>
  <w:abstractNum w:abstractNumId="3">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forms"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5FA"/>
    <w:rsid w:val="00170D99"/>
    <w:rsid w:val="00274487"/>
    <w:rsid w:val="002A6EF3"/>
    <w:rsid w:val="002B3CA4"/>
    <w:rsid w:val="00325012"/>
    <w:rsid w:val="003C4EF5"/>
    <w:rsid w:val="003F4DF0"/>
    <w:rsid w:val="005228AB"/>
    <w:rsid w:val="0055749D"/>
    <w:rsid w:val="005D0FF4"/>
    <w:rsid w:val="006E656A"/>
    <w:rsid w:val="007E2CBE"/>
    <w:rsid w:val="007E6DBB"/>
    <w:rsid w:val="00BA45FA"/>
    <w:rsid w:val="00E55744"/>
    <w:rsid w:val="00F52BDE"/>
    <w:rsid w:val="13016A31"/>
    <w:rsid w:val="17FF78EB"/>
    <w:rsid w:val="20EE6A13"/>
    <w:rsid w:val="36E602DD"/>
    <w:rsid w:val="4E6D3660"/>
    <w:rsid w:val="50CB6A87"/>
    <w:rsid w:val="526B0AA0"/>
    <w:rsid w:val="60E37A9B"/>
    <w:rsid w:val="66D06120"/>
    <w:rsid w:val="6D9B07DA"/>
    <w:rsid w:val="7A3D118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locked/>
    <w:uiPriority w:val="99"/>
    <w:rPr>
      <w:rFonts w:ascii="Calibri" w:hAnsi="Calibri" w:cs="Calibri"/>
      <w:kern w:val="2"/>
      <w:sz w:val="18"/>
      <w:szCs w:val="18"/>
    </w:rPr>
  </w:style>
  <w:style w:type="character" w:customStyle="1" w:styleId="7">
    <w:name w:val="Footer Char"/>
    <w:basedOn w:val="4"/>
    <w:link w:val="2"/>
    <w:locked/>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7</Pages>
  <Words>237</Words>
  <Characters>1351</Characters>
  <Lines>0</Lines>
  <Paragraphs>0</Paragraphs>
  <TotalTime>0</TotalTime>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2018-03-19T02:10:00Z</dcterms:created>
  <dc:creator>huangzj</dc:creator>
  <cp:lastModifiedBy>Administrator</cp:lastModifiedBy>
  <cp:lastPrinted>2018-02-09T07:39:00Z</cp:lastPrinted>
  <dcterms:modified xsi:type="dcterms:W3CDTF">2018-04-07T02:38:41Z</dcterms:modified>
  <dc:title>**年</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