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p/>
    <w:p/>
    <w:p>
      <w:pPr>
        <w:spacing w:line="440" w:lineRule="exact"/>
        <w:jc w:val="center"/>
        <w:rPr>
          <w:rFonts w:ascii="宋体" w:cs="宋体"/>
          <w:b/>
          <w:bCs/>
          <w:sz w:val="32"/>
          <w:szCs w:val="32"/>
        </w:rPr>
      </w:pPr>
      <w:r>
        <w:rPr>
          <w:rFonts w:hint="eastAsia" w:ascii="楷体_GB2312" w:hAnsi="楷体_GB2312" w:eastAsia="楷体_GB2312" w:cs="楷体_GB2312"/>
          <w:sz w:val="30"/>
          <w:szCs w:val="30"/>
        </w:rPr>
        <w:t>揭东交字〔</w:t>
      </w:r>
      <w:r>
        <w:rPr>
          <w:rFonts w:ascii="楷体_GB2312" w:hAnsi="楷体_GB2312" w:eastAsia="楷体_GB2312" w:cs="楷体_GB2312"/>
          <w:sz w:val="30"/>
          <w:szCs w:val="30"/>
        </w:rPr>
        <w:t>2018</w:t>
      </w:r>
      <w:r>
        <w:rPr>
          <w:rFonts w:hint="eastAsia" w:ascii="楷体_GB2312" w:hAnsi="楷体_GB2312" w:eastAsia="楷体_GB2312" w:cs="楷体_GB2312"/>
          <w:sz w:val="30"/>
          <w:szCs w:val="30"/>
        </w:rPr>
        <w:t>〕</w:t>
      </w:r>
      <w:r>
        <w:rPr>
          <w:rFonts w:ascii="楷体_GB2312" w:hAnsi="楷体_GB2312" w:eastAsia="楷体_GB2312" w:cs="楷体_GB2312"/>
          <w:sz w:val="30"/>
          <w:szCs w:val="30"/>
        </w:rPr>
        <w:t>76</w:t>
      </w:r>
      <w:r>
        <w:rPr>
          <w:rFonts w:hint="eastAsia" w:ascii="楷体_GB2312" w:hAnsi="楷体_GB2312" w:eastAsia="楷体_GB2312" w:cs="楷体_GB2312"/>
          <w:sz w:val="30"/>
          <w:szCs w:val="30"/>
        </w:rPr>
        <w:t>号</w:t>
      </w:r>
      <w:bookmarkStart w:id="0" w:name="_GoBack"/>
      <w:bookmarkEnd w:id="0"/>
    </w:p>
    <w:p>
      <w:pPr>
        <w:rPr>
          <w:rFonts w:ascii="宋体" w:cs="宋体"/>
          <w:b/>
          <w:bCs/>
          <w:szCs w:val="21"/>
        </w:rPr>
      </w:pPr>
    </w:p>
    <w:p>
      <w:pPr>
        <w:spacing w:line="460" w:lineRule="exact"/>
        <w:rPr>
          <w:rFonts w:ascii="宋体" w:cs="宋体"/>
          <w:b/>
          <w:bCs/>
          <w:szCs w:val="21"/>
        </w:rPr>
      </w:pPr>
    </w:p>
    <w:p>
      <w:pPr>
        <w:spacing w:line="600" w:lineRule="exact"/>
        <w:jc w:val="center"/>
        <w:rPr>
          <w:rFonts w:ascii="宋体" w:cs="方正小标宋简体"/>
          <w:sz w:val="44"/>
          <w:szCs w:val="44"/>
        </w:rPr>
      </w:pPr>
      <w:r>
        <w:rPr>
          <w:rFonts w:hint="eastAsia" w:ascii="宋体" w:hAnsi="宋体" w:cs="方正小标宋简体"/>
          <w:sz w:val="44"/>
          <w:szCs w:val="44"/>
        </w:rPr>
        <w:t>揭阳市揭东区交通运输局关于开展</w:t>
      </w:r>
      <w:r>
        <w:rPr>
          <w:rFonts w:ascii="宋体" w:hAnsi="宋体" w:cs="方正小标宋简体"/>
          <w:sz w:val="44"/>
          <w:szCs w:val="44"/>
        </w:rPr>
        <w:t>2018</w:t>
      </w:r>
      <w:r>
        <w:rPr>
          <w:rFonts w:hint="eastAsia" w:ascii="宋体" w:hAnsi="宋体" w:cs="方正小标宋简体"/>
          <w:sz w:val="44"/>
          <w:szCs w:val="44"/>
        </w:rPr>
        <w:t>年第一阶段突发事件风险隐患排查和</w:t>
      </w:r>
    </w:p>
    <w:p>
      <w:pPr>
        <w:spacing w:line="600" w:lineRule="exact"/>
        <w:jc w:val="center"/>
        <w:rPr>
          <w:rFonts w:ascii="宋体" w:cs="方正小标宋简体"/>
          <w:sz w:val="44"/>
          <w:szCs w:val="44"/>
        </w:rPr>
      </w:pPr>
      <w:r>
        <w:rPr>
          <w:rFonts w:hint="eastAsia" w:ascii="宋体" w:hAnsi="宋体" w:cs="方正小标宋简体"/>
          <w:sz w:val="44"/>
          <w:szCs w:val="44"/>
        </w:rPr>
        <w:t>整改工作的通知</w:t>
      </w:r>
    </w:p>
    <w:p>
      <w:pPr>
        <w:spacing w:line="600" w:lineRule="exact"/>
        <w:jc w:val="center"/>
        <w:rPr>
          <w:rFonts w:ascii="宋体" w:cs="方正小标宋简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局属各单位、机关各股室，各交通运输企业：</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根据区府办《关于开展</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年第一阶段全区突发事件风险隐患排查和整改工作的通知》（揭东府办明电〔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号），为深入推进我区交通运输企业突发事件风险防控工作常态化，有效提高行业安全和公共安全保障水平，在全区交通运输领域范围内集中开展</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年第一阶段突发事件风险隐患排查和整改工作。现就有关事项通知如下：</w:t>
      </w:r>
    </w:p>
    <w:p>
      <w:pPr>
        <w:spacing w:line="60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一、工作目标</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完善风险防控长效机制，切实做到排查在前、除险在前、准备在前、防范在前，着力实现源头严防、过程严管、责任严查、后果严惩，有效解决突发事件风险隐患早发现、早报告、早治理的“最先一公里”问题，全力维护我区交通运输行业安全，保障公共安全和社会稳定。</w:t>
      </w:r>
    </w:p>
    <w:p>
      <w:pPr>
        <w:spacing w:line="60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二、排查、整改范围及任务</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范围：按照“重点领域，重点行业，专项突破，专项治理”原则，深入排查和整改道路运输、水路运输、港口码头、渡口、地方公路、交通工程建设等重点领域突发事件风险隐患。其他行业领域的突发事件风险隐患排查和整改工作，依法依规依照工作职责进行，要常抓不懈、毫不松懈。</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任务：一是各部门、各单位按职责细化工作方案，科学部署排查、登记、评估、整改、监管各环节措施；采取群众监督举报、自查、检查、督查等方式，确保风险隐患排查全覆盖。二是根据市局《关于印发揭阳市交通运输行业风险点危险源排查管控工作指导意见的通知》（揭市交〔</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333</w:t>
      </w:r>
      <w:r>
        <w:rPr>
          <w:rFonts w:hint="eastAsia" w:ascii="仿宋_GB2312" w:hAnsi="仿宋_GB2312" w:eastAsia="仿宋_GB2312" w:cs="仿宋_GB2312"/>
          <w:sz w:val="32"/>
          <w:szCs w:val="32"/>
        </w:rPr>
        <w:t>号）文〔我局《转发关于进一步加强风险点危险源排查管控工作的通知》（揭东交字〔</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号）文予以转发〕制定的《交通运输安全风险点等级划分》的标准，开展突发事件风险隐患排查，并建立健全风险隐患数据库，实行分级、分类、动态管理。三是建立健全排查整改台帐，确保风险位置、风险等级、责任主体、消除或防范风险情况有账可查。四是逐一整改风险隐患，做到整改方案有制订、应急预案有配套、宣教培训有落实、应急避护有考虑、应急物资有储备、应急队伍有准备、整改措施有实效。</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组织机构：区局应急办负责我区交通运输行业突发事件风险隐患排查和整改工作的组织、领导、协调。</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排查整改职责分工：</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道路运输：由道路运输管理股牵头负责，责任单位：各交通管理所，配合单位：交通管理总站、货管中心、服务站；</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水路运输：由区港航管理所负责；</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港口码头：由区港航管理所负责；</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渡口：由区港航管理所负责；</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地方公路：由区地方公路管理站负责；</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交通工程建设：由局规划基建股负责。</w:t>
      </w:r>
    </w:p>
    <w:p>
      <w:pPr>
        <w:spacing w:line="60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三、时间安排</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（一）排查和整改：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局属各部门、各单位要统筹组织本部门、本单位涉及的行业领域进行专项排查和整改。</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（二）报送资料时间：于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日（星期五）下午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时前。</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填写相关表格，编写书面情况报告，内容包括：风险隐患排查整改工作基本情况、主要做法、存在问题、下一步工作打算，由牵头负责单位汇总后，将有关情况报告连同相关表格报送区局应急办，联系人：陈宏彬，联系电话：</w:t>
      </w:r>
      <w:r>
        <w:rPr>
          <w:rFonts w:ascii="仿宋_GB2312" w:hAnsi="仿宋_GB2312" w:eastAsia="仿宋_GB2312" w:cs="仿宋_GB2312"/>
          <w:sz w:val="32"/>
          <w:szCs w:val="32"/>
        </w:rPr>
        <w:t>3262160</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3262160</w:t>
      </w: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jdjtjbgs@163.com</w:t>
      </w:r>
      <w:r>
        <w:rPr>
          <w:rFonts w:hint="eastAsia" w:ascii="仿宋_GB2312" w:hAnsi="仿宋_GB2312" w:eastAsia="仿宋_GB2312" w:cs="仿宋_GB2312"/>
          <w:sz w:val="32"/>
          <w:szCs w:val="32"/>
        </w:rPr>
        <w:t>。</w:t>
      </w:r>
    </w:p>
    <w:p>
      <w:pPr>
        <w:spacing w:line="60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四、工作要求</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（一）高度重视，周密部署。各部门、各单位要认真总结</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年以来风险隐患排查和整改工作的经验教训，特别要吸取去年我区道路运输领域“</w:t>
      </w:r>
      <w:r>
        <w:rPr>
          <w:rFonts w:ascii="仿宋_GB2312" w:hAnsi="仿宋_GB2312" w:eastAsia="仿宋_GB2312" w:cs="仿宋_GB2312"/>
          <w:sz w:val="32"/>
          <w:szCs w:val="32"/>
        </w:rPr>
        <w:t>4.11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10.11</w:t>
      </w:r>
      <w:r>
        <w:rPr>
          <w:rFonts w:hint="eastAsia" w:ascii="仿宋_GB2312" w:hAnsi="仿宋_GB2312" w:eastAsia="仿宋_GB2312" w:cs="仿宋_GB2312"/>
          <w:sz w:val="32"/>
          <w:szCs w:val="32"/>
        </w:rPr>
        <w:t>”行车事故的深刻教训，坚决克服麻痹、松懈情绪和侥幸心理，切实加强风险隐患排查和整改工作的组织领导，早做方案、细化分工、周密部署。要以突发事件多发行业领域风险隐患排查、整改为突破口，从源头上预防和减少突发事件，最大限度保障人民群众生命财产安全。</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狠抓落实，务求实效。各部门、各单位要开展形式多样的培训和指导，确保排查和整改工作标准统一、步调一致。风险隐患排查和整改工作“既要见物又要见人”，安全意识薄弱等以人为主体的风险隐患要认真排查整改到位。可以在短期内完成整改的，要及时消除风险隐患；情况复杂、短期内难以消除的，要采取有效控制措施防止事态扩大升级、避免造成人员伤亡。</w:t>
      </w:r>
    </w:p>
    <w:p>
      <w:pPr>
        <w:spacing w:line="60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明确责任，加强督查。要坚持突发事件风险隐患“谁主管、谁负责”的原则，认真落实排查和整改的责任领导、责任单位、责任人员，确保责任分解到人、措施落实到位。要采取现场督查、暗访、约谈、通报等多种方式开展督查，对领导不力、玩忽职守、敷衍塞责造成严重后果的严肃追究有关责任。</w:t>
      </w:r>
    </w:p>
    <w:p>
      <w:pPr>
        <w:spacing w:line="600" w:lineRule="exact"/>
        <w:ind w:firstLine="3168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、突发事件风险隐患排查和整改工作情况汇总表</w:t>
      </w:r>
    </w:p>
    <w:p>
      <w:pPr>
        <w:spacing w:line="600" w:lineRule="exact"/>
        <w:ind w:firstLine="31680" w:firstLineChars="5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、突发事件风险排查和整改情况登记表</w:t>
      </w:r>
    </w:p>
    <w:p>
      <w:pPr>
        <w:spacing w:line="600" w:lineRule="exact"/>
        <w:ind w:firstLine="31680" w:firstLineChars="500"/>
        <w:rPr>
          <w:rFonts w:ascii="仿宋_GB2312" w:hAnsi="仿宋_GB2312" w:eastAsia="仿宋_GB2312" w:cs="仿宋_GB2312"/>
          <w:sz w:val="30"/>
          <w:szCs w:val="30"/>
        </w:rPr>
      </w:pPr>
    </w:p>
    <w:p>
      <w:pPr>
        <w:spacing w:line="600" w:lineRule="exact"/>
        <w:ind w:firstLine="31680" w:firstLine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揭阳市揭东区交通运输局</w:t>
      </w:r>
    </w:p>
    <w:p>
      <w:pPr>
        <w:spacing w:line="600" w:lineRule="exact"/>
        <w:ind w:firstLine="31680" w:firstLineChars="5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p>
    <w:p>
      <w:pPr>
        <w:spacing w:line="600" w:lineRule="exact"/>
        <w:sectPr>
          <w:footerReference r:id="rId4" w:type="default"/>
          <w:footerReference r:id="rId5" w:type="even"/>
          <w:pgSz w:w="11906" w:h="16838"/>
          <w:pgMar w:top="1440" w:right="1800" w:bottom="1440" w:left="1800" w:header="851" w:footer="992" w:gutter="0"/>
          <w:cols w:space="720" w:num="1"/>
          <w:titlePg/>
          <w:docGrid w:type="lines" w:linePitch="312"/>
        </w:sectPr>
      </w:pPr>
    </w:p>
    <w:tbl>
      <w:tblPr>
        <w:tblW w:w="14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9"/>
        <w:gridCol w:w="57"/>
        <w:gridCol w:w="735"/>
        <w:gridCol w:w="221"/>
        <w:gridCol w:w="513"/>
        <w:gridCol w:w="368"/>
        <w:gridCol w:w="696"/>
        <w:gridCol w:w="245"/>
        <w:gridCol w:w="533"/>
        <w:gridCol w:w="423"/>
        <w:gridCol w:w="760"/>
        <w:gridCol w:w="1109"/>
        <w:gridCol w:w="794"/>
        <w:gridCol w:w="1004"/>
        <w:gridCol w:w="591"/>
        <w:gridCol w:w="188"/>
        <w:gridCol w:w="1063"/>
        <w:gridCol w:w="1154"/>
        <w:gridCol w:w="734"/>
        <w:gridCol w:w="1393"/>
        <w:gridCol w:w="949"/>
        <w:gridCol w:w="579"/>
      </w:tblGrid>
      <w:tr>
        <w:trPr>
          <w:gridAfter w:val="1"/>
          <w:wAfter w:w="579" w:type="dxa"/>
          <w:trHeight w:val="181" w:hRule="atLeast"/>
        </w:trPr>
        <w:tc>
          <w:tcPr>
            <w:tcW w:w="13979" w:type="dxa"/>
            <w:gridSpan w:val="21"/>
            <w:vAlign w:val="center"/>
          </w:tcPr>
          <w:p>
            <w:pPr>
              <w:widowControl/>
              <w:jc w:val="left"/>
              <w:textAlignment w:val="center"/>
              <w:rPr>
                <w:rFonts w:ascii="黑体" w:hAnsi="宋体" w:eastAsia="黑体" w:cs="黑体"/>
                <w:b/>
                <w:color w:val="000000"/>
                <w:sz w:val="24"/>
              </w:rPr>
            </w:pPr>
            <w:r>
              <w:rPr>
                <w:rFonts w:ascii="黑体" w:hAnsi="宋体" w:eastAsia="黑体" w:cs="黑体"/>
                <w:b/>
                <w:color w:val="000000"/>
                <w:kern w:val="0"/>
                <w:sz w:val="24"/>
              </w:rPr>
              <w:t xml:space="preserve"> </w:t>
            </w:r>
            <w:r>
              <w:rPr>
                <w:rFonts w:hint="eastAsia" w:ascii="黑体" w:hAnsi="宋体" w:eastAsia="黑体" w:cs="黑体"/>
                <w:b/>
                <w:color w:val="000000"/>
                <w:kern w:val="0"/>
                <w:sz w:val="24"/>
              </w:rPr>
              <w:t>附件</w:t>
            </w:r>
            <w:r>
              <w:rPr>
                <w:rFonts w:ascii="黑体" w:hAnsi="宋体" w:eastAsia="黑体" w:cs="黑体"/>
                <w:b/>
                <w:color w:val="000000"/>
                <w:kern w:val="0"/>
                <w:sz w:val="24"/>
              </w:rPr>
              <w:t>1</w:t>
            </w:r>
          </w:p>
        </w:tc>
      </w:tr>
      <w:tr>
        <w:trPr>
          <w:gridAfter w:val="1"/>
          <w:wAfter w:w="579" w:type="dxa"/>
          <w:trHeight w:val="346" w:hRule="atLeast"/>
        </w:trPr>
        <w:tc>
          <w:tcPr>
            <w:tcW w:w="13979" w:type="dxa"/>
            <w:gridSpan w:val="21"/>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突发事件风险隐患排查和整改工作情况汇总表</w:t>
            </w:r>
          </w:p>
        </w:tc>
      </w:tr>
      <w:tr>
        <w:trPr>
          <w:gridAfter w:val="1"/>
          <w:wAfter w:w="579" w:type="dxa"/>
          <w:trHeight w:val="181" w:hRule="atLeast"/>
        </w:trPr>
        <w:tc>
          <w:tcPr>
            <w:tcW w:w="13979" w:type="dxa"/>
            <w:gridSpan w:val="21"/>
            <w:vAlign w:val="center"/>
          </w:tcPr>
          <w:p>
            <w:pPr>
              <w:jc w:val="center"/>
              <w:rPr>
                <w:rFonts w:ascii="黑体" w:hAnsi="宋体" w:eastAsia="黑体" w:cs="黑体"/>
                <w:b/>
                <w:color w:val="000000"/>
                <w:sz w:val="24"/>
              </w:rPr>
            </w:pPr>
          </w:p>
        </w:tc>
      </w:tr>
      <w:tr>
        <w:trPr>
          <w:gridAfter w:val="1"/>
          <w:wAfter w:w="579" w:type="dxa"/>
          <w:trHeight w:val="181" w:hRule="atLeast"/>
        </w:trPr>
        <w:tc>
          <w:tcPr>
            <w:tcW w:w="13979" w:type="dxa"/>
            <w:gridSpan w:val="21"/>
            <w:vAlign w:val="center"/>
          </w:tcPr>
          <w:p>
            <w:pPr>
              <w:widowControl/>
              <w:textAlignment w:val="center"/>
              <w:rPr>
                <w:rFonts w:ascii="黑体" w:hAnsi="宋体" w:eastAsia="黑体" w:cs="黑体"/>
                <w:b/>
                <w:color w:val="000000"/>
                <w:sz w:val="24"/>
              </w:rPr>
            </w:pPr>
            <w:r>
              <w:rPr>
                <w:rFonts w:hint="eastAsia" w:ascii="黑体" w:hAnsi="宋体" w:eastAsia="黑体" w:cs="黑体"/>
                <w:b/>
                <w:color w:val="000000"/>
                <w:kern w:val="0"/>
                <w:sz w:val="24"/>
              </w:rPr>
              <w:t>报告单位</w:t>
            </w:r>
            <w:r>
              <w:rPr>
                <w:rFonts w:ascii="黑体" w:hAnsi="宋体" w:eastAsia="黑体" w:cs="黑体"/>
                <w:b/>
                <w:color w:val="000000"/>
                <w:kern w:val="0"/>
                <w:sz w:val="24"/>
              </w:rPr>
              <w:t>(</w:t>
            </w:r>
            <w:r>
              <w:rPr>
                <w:rFonts w:hint="eastAsia" w:ascii="黑体" w:hAnsi="宋体" w:eastAsia="黑体" w:cs="黑体"/>
                <w:b/>
                <w:color w:val="000000"/>
                <w:kern w:val="0"/>
                <w:sz w:val="24"/>
              </w:rPr>
              <w:t>盖章</w:t>
            </w:r>
            <w:r>
              <w:rPr>
                <w:rFonts w:ascii="黑体" w:hAnsi="宋体" w:eastAsia="黑体" w:cs="黑体"/>
                <w:b/>
                <w:color w:val="000000"/>
                <w:kern w:val="0"/>
                <w:sz w:val="24"/>
              </w:rPr>
              <w:t>)</w:t>
            </w:r>
            <w:r>
              <w:rPr>
                <w:rFonts w:hint="eastAsia" w:ascii="黑体" w:hAnsi="宋体" w:eastAsia="黑体" w:cs="黑体"/>
                <w:b/>
                <w:color w:val="000000"/>
                <w:kern w:val="0"/>
                <w:sz w:val="24"/>
              </w:rPr>
              <w:t>：</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报告时间：</w:t>
            </w:r>
            <w:r>
              <w:rPr>
                <w:rFonts w:ascii="黑体" w:hAnsi="宋体" w:eastAsia="黑体" w:cs="黑体"/>
                <w:b/>
                <w:color w:val="000000"/>
                <w:kern w:val="0"/>
                <w:sz w:val="24"/>
              </w:rPr>
              <w:t>2018</w:t>
            </w:r>
            <w:r>
              <w:rPr>
                <w:rFonts w:hint="eastAsia" w:ascii="黑体" w:hAnsi="宋体" w:eastAsia="黑体" w:cs="黑体"/>
                <w:b/>
                <w:color w:val="000000"/>
                <w:kern w:val="0"/>
                <w:sz w:val="24"/>
              </w:rPr>
              <w:t>年</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月</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日</w:t>
            </w:r>
          </w:p>
        </w:tc>
      </w:tr>
      <w:tr>
        <w:trPr>
          <w:gridAfter w:val="1"/>
          <w:wAfter w:w="579" w:type="dxa"/>
          <w:trHeight w:val="202" w:hRule="atLeast"/>
        </w:trPr>
        <w:tc>
          <w:tcPr>
            <w:tcW w:w="5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序号</w:t>
            </w:r>
          </w:p>
        </w:tc>
        <w:tc>
          <w:tcPr>
            <w:tcW w:w="956" w:type="dxa"/>
            <w:gridSpan w:val="2"/>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排查和整改范围</w:t>
            </w:r>
          </w:p>
        </w:tc>
        <w:tc>
          <w:tcPr>
            <w:tcW w:w="8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风险隐患数量（项）</w:t>
            </w:r>
          </w:p>
        </w:tc>
        <w:tc>
          <w:tcPr>
            <w:tcW w:w="9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整改数量（项）</w:t>
            </w:r>
          </w:p>
        </w:tc>
        <w:tc>
          <w:tcPr>
            <w:tcW w:w="9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整改率</w:t>
            </w:r>
            <w:r>
              <w:rPr>
                <w:rFonts w:ascii="宋体" w:cs="宋体"/>
                <w:b/>
                <w:color w:val="000000"/>
                <w:kern w:val="0"/>
                <w:sz w:val="24"/>
              </w:rPr>
              <w:br/>
            </w:r>
            <w:r>
              <w:rPr>
                <w:rFonts w:ascii="宋体" w:cs="宋体"/>
                <w:b/>
                <w:color w:val="000000"/>
                <w:kern w:val="0"/>
                <w:sz w:val="24"/>
              </w:rPr>
              <w:br/>
            </w:r>
            <w:r>
              <w:rPr>
                <w:rFonts w:hint="eastAsia" w:ascii="宋体" w:hAnsi="宋体" w:cs="宋体"/>
                <w:b/>
                <w:color w:val="000000"/>
                <w:kern w:val="0"/>
                <w:sz w:val="24"/>
              </w:rPr>
              <w:t>（</w:t>
            </w:r>
            <w:r>
              <w:rPr>
                <w:rFonts w:ascii="宋体" w:hAnsi="宋体" w:cs="宋体"/>
                <w:b/>
                <w:color w:val="000000"/>
                <w:kern w:val="0"/>
                <w:sz w:val="24"/>
              </w:rPr>
              <w:t>%</w:t>
            </w:r>
            <w:r>
              <w:rPr>
                <w:rFonts w:hint="eastAsia" w:ascii="宋体" w:hAnsi="宋体" w:cs="宋体"/>
                <w:b/>
                <w:color w:val="000000"/>
                <w:kern w:val="0"/>
                <w:sz w:val="24"/>
              </w:rPr>
              <w:t>）</w:t>
            </w:r>
          </w:p>
        </w:tc>
        <w:tc>
          <w:tcPr>
            <w:tcW w:w="9739" w:type="dxa"/>
            <w:gridSpan w:val="11"/>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制订风险分级评估标准情况</w:t>
            </w:r>
          </w:p>
        </w:tc>
      </w:tr>
      <w:tr>
        <w:trPr>
          <w:gridAfter w:val="1"/>
          <w:wAfter w:w="579" w:type="dxa"/>
          <w:trHeight w:val="314" w:hRule="atLeast"/>
        </w:trPr>
        <w:tc>
          <w:tcPr>
            <w:tcW w:w="5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4"/>
              </w:rPr>
            </w:pPr>
          </w:p>
        </w:tc>
        <w:tc>
          <w:tcPr>
            <w:tcW w:w="956" w:type="dxa"/>
            <w:gridSpan w:val="2"/>
            <w:vMerge w:val="continue"/>
            <w:tcBorders>
              <w:top w:val="single" w:color="000000" w:sz="4" w:space="0"/>
              <w:bottom w:val="single" w:color="000000" w:sz="4" w:space="0"/>
              <w:right w:val="single" w:color="000000" w:sz="4" w:space="0"/>
            </w:tcBorders>
            <w:vAlign w:val="center"/>
          </w:tcPr>
          <w:p>
            <w:pPr>
              <w:jc w:val="center"/>
              <w:rPr>
                <w:rFonts w:ascii="宋体" w:cs="宋体"/>
                <w:b/>
                <w:color w:val="000000"/>
                <w:sz w:val="24"/>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4"/>
              </w:rPr>
            </w:pPr>
          </w:p>
        </w:tc>
        <w:tc>
          <w:tcPr>
            <w:tcW w:w="9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4"/>
              </w:rPr>
            </w:pPr>
          </w:p>
        </w:tc>
        <w:tc>
          <w:tcPr>
            <w:tcW w:w="9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4"/>
              </w:rPr>
            </w:pPr>
          </w:p>
        </w:tc>
        <w:tc>
          <w:tcPr>
            <w:tcW w:w="4258" w:type="dxa"/>
            <w:gridSpan w:val="5"/>
            <w:tcBorders>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文</w:t>
            </w:r>
            <w:r>
              <w:rPr>
                <w:rFonts w:ascii="宋体" w:hAnsi="宋体" w:cs="宋体"/>
                <w:b/>
                <w:color w:val="000000"/>
                <w:kern w:val="0"/>
                <w:sz w:val="24"/>
              </w:rPr>
              <w:t xml:space="preserve"> </w:t>
            </w:r>
            <w:r>
              <w:rPr>
                <w:rFonts w:hint="eastAsia" w:ascii="宋体" w:hAnsi="宋体" w:cs="宋体"/>
                <w:b/>
                <w:color w:val="000000"/>
                <w:kern w:val="0"/>
                <w:sz w:val="24"/>
              </w:rPr>
              <w:t>件</w:t>
            </w:r>
            <w:r>
              <w:rPr>
                <w:rFonts w:ascii="宋体" w:hAnsi="宋体" w:cs="宋体"/>
                <w:b/>
                <w:color w:val="000000"/>
                <w:kern w:val="0"/>
                <w:sz w:val="24"/>
              </w:rPr>
              <w:t xml:space="preserve"> </w:t>
            </w:r>
            <w:r>
              <w:rPr>
                <w:rFonts w:hint="eastAsia" w:ascii="宋体" w:hAnsi="宋体" w:cs="宋体"/>
                <w:b/>
                <w:color w:val="000000"/>
                <w:kern w:val="0"/>
                <w:sz w:val="24"/>
              </w:rPr>
              <w:t>名</w:t>
            </w:r>
            <w:r>
              <w:rPr>
                <w:rFonts w:ascii="宋体" w:hAnsi="宋体" w:cs="宋体"/>
                <w:b/>
                <w:color w:val="000000"/>
                <w:kern w:val="0"/>
                <w:sz w:val="24"/>
              </w:rPr>
              <w:t xml:space="preserve"> </w:t>
            </w:r>
            <w:r>
              <w:rPr>
                <w:rFonts w:hint="eastAsia" w:ascii="宋体" w:hAnsi="宋体" w:cs="宋体"/>
                <w:b/>
                <w:color w:val="000000"/>
                <w:kern w:val="0"/>
                <w:sz w:val="24"/>
              </w:rPr>
              <w:t>称</w:t>
            </w:r>
          </w:p>
        </w:tc>
        <w:tc>
          <w:tcPr>
            <w:tcW w:w="5481" w:type="dxa"/>
            <w:gridSpan w:val="6"/>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r>
              <w:rPr>
                <w:rFonts w:hint="eastAsia" w:ascii="宋体" w:hAnsi="宋体" w:cs="宋体"/>
                <w:b/>
                <w:color w:val="000000"/>
                <w:kern w:val="0"/>
                <w:sz w:val="24"/>
              </w:rPr>
              <w:t>是否已印发各地</w:t>
            </w:r>
          </w:p>
        </w:tc>
      </w:tr>
      <w:tr>
        <w:trPr>
          <w:gridAfter w:val="1"/>
          <w:wAfter w:w="579" w:type="dxa"/>
          <w:trHeight w:val="351" w:hRule="atLeast"/>
        </w:trPr>
        <w:tc>
          <w:tcPr>
            <w:tcW w:w="506" w:type="dxa"/>
            <w:gridSpan w:val="2"/>
            <w:tcBorders>
              <w:left w:val="single" w:color="000000" w:sz="4" w:space="0"/>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88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351" w:hRule="atLeast"/>
        </w:trPr>
        <w:tc>
          <w:tcPr>
            <w:tcW w:w="506" w:type="dxa"/>
            <w:gridSpan w:val="2"/>
            <w:tcBorders>
              <w:left w:val="single" w:color="000000" w:sz="4" w:space="0"/>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88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351" w:hRule="atLeast"/>
        </w:trPr>
        <w:tc>
          <w:tcPr>
            <w:tcW w:w="506" w:type="dxa"/>
            <w:gridSpan w:val="2"/>
            <w:tcBorders>
              <w:left w:val="single" w:color="000000" w:sz="4" w:space="0"/>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88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351" w:hRule="atLeast"/>
        </w:trPr>
        <w:tc>
          <w:tcPr>
            <w:tcW w:w="506" w:type="dxa"/>
            <w:gridSpan w:val="2"/>
            <w:tcBorders>
              <w:left w:val="single" w:color="000000" w:sz="4" w:space="0"/>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88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351" w:hRule="atLeast"/>
        </w:trPr>
        <w:tc>
          <w:tcPr>
            <w:tcW w:w="506" w:type="dxa"/>
            <w:gridSpan w:val="2"/>
            <w:tcBorders>
              <w:left w:val="single" w:color="000000" w:sz="4" w:space="0"/>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88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351" w:hRule="atLeast"/>
        </w:trPr>
        <w:tc>
          <w:tcPr>
            <w:tcW w:w="1462" w:type="dxa"/>
            <w:gridSpan w:val="4"/>
            <w:tcBorders>
              <w:left w:val="single" w:color="000000" w:sz="4" w:space="0"/>
              <w:bottom w:val="single" w:color="000000" w:sz="4" w:space="0"/>
              <w:right w:val="single" w:color="000000" w:sz="4" w:space="0"/>
            </w:tcBorders>
            <w:vAlign w:val="top"/>
          </w:tcPr>
          <w:p>
            <w:pPr>
              <w:widowControl/>
              <w:jc w:val="center"/>
              <w:textAlignment w:val="top"/>
              <w:rPr>
                <w:rFonts w:ascii="宋体" w:cs="宋体"/>
                <w:b/>
                <w:color w:val="000000"/>
                <w:sz w:val="24"/>
              </w:rPr>
            </w:pPr>
            <w:r>
              <w:rPr>
                <w:rFonts w:hint="eastAsia" w:ascii="宋体" w:hAnsi="宋体" w:cs="宋体"/>
                <w:b/>
                <w:color w:val="000000"/>
                <w:kern w:val="0"/>
                <w:sz w:val="24"/>
              </w:rPr>
              <w:t>合</w:t>
            </w:r>
            <w:r>
              <w:rPr>
                <w:rFonts w:ascii="宋体" w:hAnsi="宋体" w:cs="宋体"/>
                <w:b/>
                <w:color w:val="000000"/>
                <w:kern w:val="0"/>
                <w:sz w:val="24"/>
              </w:rPr>
              <w:t xml:space="preserve">  </w:t>
            </w:r>
            <w:r>
              <w:rPr>
                <w:rFonts w:hint="eastAsia" w:ascii="宋体" w:hAnsi="宋体" w:cs="宋体"/>
                <w:b/>
                <w:color w:val="000000"/>
                <w:kern w:val="0"/>
                <w:sz w:val="24"/>
              </w:rPr>
              <w:t>计</w:t>
            </w:r>
          </w:p>
        </w:tc>
        <w:tc>
          <w:tcPr>
            <w:tcW w:w="881" w:type="dxa"/>
            <w:gridSpan w:val="2"/>
            <w:tcBorders>
              <w:bottom w:val="single" w:color="000000" w:sz="4" w:space="0"/>
              <w:right w:val="single" w:color="000000" w:sz="4" w:space="0"/>
            </w:tcBorders>
            <w:vAlign w:val="top"/>
          </w:tcPr>
          <w:p>
            <w:pPr>
              <w:jc w:val="center"/>
              <w:rPr>
                <w:rFonts w:ascii="宋体" w:cs="宋体"/>
                <w:b/>
                <w:color w:val="000000"/>
                <w:sz w:val="24"/>
              </w:rPr>
            </w:pPr>
          </w:p>
        </w:tc>
        <w:tc>
          <w:tcPr>
            <w:tcW w:w="941"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956" w:type="dxa"/>
            <w:gridSpan w:val="2"/>
            <w:tcBorders>
              <w:bottom w:val="single" w:color="000000" w:sz="4" w:space="0"/>
              <w:right w:val="single" w:color="000000" w:sz="4" w:space="0"/>
            </w:tcBorders>
            <w:vAlign w:val="top"/>
          </w:tcPr>
          <w:p>
            <w:pPr>
              <w:jc w:val="center"/>
              <w:rPr>
                <w:rFonts w:ascii="宋体" w:cs="宋体"/>
                <w:color w:val="000000"/>
                <w:sz w:val="28"/>
                <w:szCs w:val="28"/>
              </w:rPr>
            </w:pPr>
          </w:p>
        </w:tc>
        <w:tc>
          <w:tcPr>
            <w:tcW w:w="4258" w:type="dxa"/>
            <w:gridSpan w:val="5"/>
            <w:tcBorders>
              <w:bottom w:val="single" w:color="000000" w:sz="4" w:space="0"/>
              <w:right w:val="single" w:color="000000" w:sz="4" w:space="0"/>
            </w:tcBorders>
            <w:vAlign w:val="top"/>
          </w:tcPr>
          <w:p>
            <w:pPr>
              <w:jc w:val="center"/>
              <w:rPr>
                <w:rFonts w:ascii="宋体" w:cs="宋体"/>
                <w:color w:val="000000"/>
                <w:sz w:val="28"/>
                <w:szCs w:val="28"/>
              </w:rPr>
            </w:pPr>
          </w:p>
        </w:tc>
        <w:tc>
          <w:tcPr>
            <w:tcW w:w="5481" w:type="dxa"/>
            <w:gridSpan w:val="6"/>
            <w:tcBorders>
              <w:bottom w:val="single" w:color="000000" w:sz="4" w:space="0"/>
              <w:right w:val="single" w:color="000000" w:sz="4" w:space="0"/>
            </w:tcBorders>
            <w:vAlign w:val="top"/>
          </w:tcPr>
          <w:p>
            <w:pPr>
              <w:jc w:val="center"/>
              <w:rPr>
                <w:rFonts w:ascii="宋体" w:cs="宋体"/>
                <w:color w:val="000000"/>
                <w:sz w:val="28"/>
                <w:szCs w:val="28"/>
              </w:rPr>
            </w:pPr>
          </w:p>
        </w:tc>
      </w:tr>
      <w:tr>
        <w:trPr>
          <w:gridAfter w:val="1"/>
          <w:wAfter w:w="579" w:type="dxa"/>
          <w:trHeight w:val="684" w:hRule="atLeast"/>
        </w:trPr>
        <w:tc>
          <w:tcPr>
            <w:tcW w:w="13979" w:type="dxa"/>
            <w:gridSpan w:val="21"/>
            <w:tcBorders>
              <w:top w:val="single" w:color="000000" w:sz="4" w:space="0"/>
            </w:tcBorders>
            <w:shd w:val="clear" w:color="auto" w:fill="FFFFFF"/>
            <w:vAlign w:val="center"/>
          </w:tcPr>
          <w:p>
            <w:pPr>
              <w:widowControl/>
              <w:jc w:val="left"/>
              <w:textAlignment w:val="center"/>
              <w:rPr>
                <w:rFonts w:ascii="黑体" w:hAnsi="宋体" w:eastAsia="黑体" w:cs="黑体"/>
                <w:color w:val="000000"/>
                <w:sz w:val="24"/>
              </w:rPr>
            </w:pPr>
            <w:r>
              <w:rPr>
                <w:rStyle w:val="6"/>
                <w:rFonts w:hint="eastAsia"/>
              </w:rPr>
              <w:t>备注：</w:t>
            </w:r>
            <w:r>
              <w:rPr>
                <w:rStyle w:val="6"/>
              </w:rPr>
              <w:br/>
            </w:r>
            <w:r>
              <w:rPr>
                <w:rStyle w:val="6"/>
              </w:rPr>
              <w:t>1</w:t>
            </w:r>
            <w:r>
              <w:rPr>
                <w:rStyle w:val="6"/>
                <w:rFonts w:hint="eastAsia"/>
              </w:rPr>
              <w:t>、“排查和整改范围”一栏填报相应项目。</w:t>
            </w:r>
            <w:r>
              <w:rPr>
                <w:rStyle w:val="6"/>
              </w:rPr>
              <w:br/>
            </w:r>
            <w:r>
              <w:rPr>
                <w:rStyle w:val="6"/>
              </w:rPr>
              <w:t>2</w:t>
            </w:r>
            <w:r>
              <w:rPr>
                <w:rStyle w:val="6"/>
                <w:rFonts w:hint="eastAsia"/>
              </w:rPr>
              <w:t>、“整改”是指及时消除风险隐患；情况复杂、短期内难以消除的，已采取有效控制措施防止事态扩大升级、避免造成人员伤亡。</w:t>
            </w:r>
            <w:r>
              <w:rPr>
                <w:rStyle w:val="6"/>
              </w:rPr>
              <w:br/>
            </w:r>
            <w:r>
              <w:rPr>
                <w:rStyle w:val="6"/>
              </w:rPr>
              <w:t>3</w:t>
            </w:r>
            <w:r>
              <w:rPr>
                <w:rStyle w:val="6"/>
                <w:rFonts w:hint="eastAsia"/>
              </w:rPr>
              <w:t>、未制订风险分级评估标准的，在相关栏内填“无”。</w:t>
            </w:r>
          </w:p>
        </w:tc>
      </w:tr>
      <w:tr>
        <w:trPr>
          <w:trHeight w:val="102" w:hRule="atLeast"/>
        </w:trPr>
        <w:tc>
          <w:tcPr>
            <w:tcW w:w="14558" w:type="dxa"/>
            <w:gridSpan w:val="22"/>
            <w:vAlign w:val="center"/>
          </w:tcPr>
          <w:p>
            <w:pPr>
              <w:widowControl/>
              <w:jc w:val="left"/>
              <w:textAlignment w:val="center"/>
              <w:rPr>
                <w:rFonts w:ascii="黑体" w:hAnsi="宋体" w:eastAsia="黑体" w:cs="黑体"/>
                <w:b/>
                <w:color w:val="000000"/>
                <w:kern w:val="0"/>
                <w:sz w:val="24"/>
              </w:rPr>
            </w:pPr>
          </w:p>
          <w:p>
            <w:pPr>
              <w:widowControl/>
              <w:jc w:val="left"/>
              <w:textAlignment w:val="center"/>
              <w:rPr>
                <w:rFonts w:ascii="黑体" w:hAnsi="宋体" w:eastAsia="黑体" w:cs="黑体"/>
                <w:b/>
                <w:color w:val="000000"/>
                <w:sz w:val="24"/>
              </w:rPr>
            </w:pPr>
            <w:r>
              <w:rPr>
                <w:rFonts w:hint="eastAsia" w:ascii="黑体" w:hAnsi="宋体" w:eastAsia="黑体" w:cs="黑体"/>
                <w:b/>
                <w:color w:val="000000"/>
                <w:kern w:val="0"/>
                <w:sz w:val="24"/>
              </w:rPr>
              <w:t>附件</w:t>
            </w:r>
            <w:r>
              <w:rPr>
                <w:rFonts w:ascii="黑体" w:hAnsi="宋体" w:eastAsia="黑体" w:cs="黑体"/>
                <w:b/>
                <w:color w:val="000000"/>
                <w:kern w:val="0"/>
                <w:sz w:val="24"/>
              </w:rPr>
              <w:t>2</w:t>
            </w:r>
          </w:p>
        </w:tc>
      </w:tr>
      <w:tr>
        <w:trPr>
          <w:trHeight w:val="346" w:hRule="atLeast"/>
        </w:trPr>
        <w:tc>
          <w:tcPr>
            <w:tcW w:w="14558" w:type="dxa"/>
            <w:gridSpan w:val="22"/>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突发事件风险隐患排查和整改情况台账</w:t>
            </w:r>
          </w:p>
        </w:tc>
      </w:tr>
      <w:tr>
        <w:trPr>
          <w:trHeight w:val="230" w:hRule="atLeast"/>
        </w:trPr>
        <w:tc>
          <w:tcPr>
            <w:tcW w:w="14558" w:type="dxa"/>
            <w:gridSpan w:val="22"/>
            <w:vAlign w:val="center"/>
          </w:tcPr>
          <w:p>
            <w:pPr>
              <w:widowControl/>
              <w:jc w:val="left"/>
              <w:textAlignment w:val="center"/>
              <w:rPr>
                <w:rFonts w:ascii="黑体" w:hAnsi="宋体" w:eastAsia="黑体" w:cs="黑体"/>
                <w:b/>
                <w:color w:val="000000"/>
                <w:sz w:val="24"/>
              </w:rPr>
            </w:pPr>
            <w:r>
              <w:rPr>
                <w:rFonts w:hint="eastAsia" w:ascii="黑体" w:hAnsi="宋体" w:eastAsia="黑体" w:cs="黑体"/>
                <w:b/>
                <w:color w:val="000000"/>
                <w:kern w:val="0"/>
                <w:sz w:val="24"/>
              </w:rPr>
              <w:t>登记单位：</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报告时间：</w:t>
            </w:r>
            <w:r>
              <w:rPr>
                <w:rFonts w:ascii="黑体" w:hAnsi="宋体" w:eastAsia="黑体" w:cs="黑体"/>
                <w:b/>
                <w:color w:val="000000"/>
                <w:kern w:val="0"/>
                <w:sz w:val="24"/>
              </w:rPr>
              <w:t>2018</w:t>
            </w:r>
            <w:r>
              <w:rPr>
                <w:rFonts w:hint="eastAsia" w:ascii="黑体" w:hAnsi="宋体" w:eastAsia="黑体" w:cs="黑体"/>
                <w:b/>
                <w:color w:val="000000"/>
                <w:kern w:val="0"/>
                <w:sz w:val="24"/>
              </w:rPr>
              <w:t>年</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月</w:t>
            </w:r>
            <w:r>
              <w:rPr>
                <w:rFonts w:ascii="黑体" w:hAnsi="宋体" w:eastAsia="黑体" w:cs="黑体"/>
                <w:b/>
                <w:color w:val="000000"/>
                <w:kern w:val="0"/>
                <w:sz w:val="24"/>
              </w:rPr>
              <w:t xml:space="preserve">  </w:t>
            </w:r>
            <w:r>
              <w:rPr>
                <w:rFonts w:hint="eastAsia" w:ascii="黑体" w:hAnsi="宋体" w:eastAsia="黑体" w:cs="黑体"/>
                <w:b/>
                <w:color w:val="000000"/>
                <w:kern w:val="0"/>
                <w:sz w:val="24"/>
              </w:rPr>
              <w:t>日</w:t>
            </w:r>
          </w:p>
        </w:tc>
      </w:tr>
      <w:tr>
        <w:trPr>
          <w:trHeight w:val="798"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序号</w:t>
            </w:r>
          </w:p>
        </w:tc>
        <w:tc>
          <w:tcPr>
            <w:tcW w:w="792"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排查和整改范围</w:t>
            </w:r>
          </w:p>
        </w:tc>
        <w:tc>
          <w:tcPr>
            <w:tcW w:w="73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风险隐患名称</w:t>
            </w:r>
          </w:p>
        </w:tc>
        <w:tc>
          <w:tcPr>
            <w:tcW w:w="106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所在位置（地址和经纬度、座标系）</w:t>
            </w:r>
          </w:p>
        </w:tc>
        <w:tc>
          <w:tcPr>
            <w:tcW w:w="778"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风险评估等级</w:t>
            </w:r>
          </w:p>
        </w:tc>
        <w:tc>
          <w:tcPr>
            <w:tcW w:w="1183"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可能造成的影响和引发突发事件的级别</w:t>
            </w:r>
          </w:p>
        </w:tc>
        <w:tc>
          <w:tcPr>
            <w:tcW w:w="1109"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预案名称</w:t>
            </w:r>
            <w:r>
              <w:rPr>
                <w:rFonts w:ascii="宋体" w:hAnsi="宋体" w:cs="宋体"/>
                <w:b/>
                <w:color w:val="000000"/>
                <w:kern w:val="0"/>
                <w:sz w:val="22"/>
                <w:szCs w:val="22"/>
              </w:rPr>
              <w:t>(</w:t>
            </w:r>
            <w:r>
              <w:rPr>
                <w:rFonts w:hint="eastAsia" w:ascii="宋体" w:hAnsi="宋体" w:cs="宋体"/>
                <w:b/>
                <w:color w:val="000000"/>
                <w:kern w:val="0"/>
                <w:sz w:val="22"/>
                <w:szCs w:val="22"/>
              </w:rPr>
              <w:t>有</w:t>
            </w:r>
            <w:r>
              <w:rPr>
                <w:rFonts w:ascii="宋体" w:hAnsi="宋体" w:cs="宋体"/>
                <w:b/>
                <w:color w:val="000000"/>
                <w:kern w:val="0"/>
                <w:sz w:val="22"/>
                <w:szCs w:val="22"/>
              </w:rPr>
              <w:t>/</w:t>
            </w:r>
            <w:r>
              <w:rPr>
                <w:rFonts w:hint="eastAsia" w:ascii="宋体" w:hAnsi="宋体" w:cs="宋体"/>
                <w:b/>
                <w:color w:val="000000"/>
                <w:kern w:val="0"/>
                <w:sz w:val="22"/>
                <w:szCs w:val="22"/>
              </w:rPr>
              <w:t>无</w:t>
            </w:r>
            <w:r>
              <w:rPr>
                <w:rFonts w:ascii="宋体" w:hAnsi="宋体" w:cs="宋体"/>
                <w:b/>
                <w:color w:val="000000"/>
                <w:kern w:val="0"/>
                <w:sz w:val="22"/>
                <w:szCs w:val="22"/>
              </w:rPr>
              <w:t>)</w:t>
            </w:r>
          </w:p>
        </w:tc>
        <w:tc>
          <w:tcPr>
            <w:tcW w:w="794"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密级</w:t>
            </w:r>
          </w:p>
        </w:tc>
        <w:tc>
          <w:tcPr>
            <w:tcW w:w="1004"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可控程度（可控∕较难控制）</w:t>
            </w:r>
          </w:p>
        </w:tc>
        <w:tc>
          <w:tcPr>
            <w:tcW w:w="779"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应急处置资源和能力</w:t>
            </w:r>
          </w:p>
        </w:tc>
        <w:tc>
          <w:tcPr>
            <w:tcW w:w="1063"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已采取的工作措施</w:t>
            </w:r>
          </w:p>
        </w:tc>
        <w:tc>
          <w:tcPr>
            <w:tcW w:w="1154"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整改措施制订和落实情况</w:t>
            </w:r>
          </w:p>
        </w:tc>
        <w:tc>
          <w:tcPr>
            <w:tcW w:w="734"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责任单位</w:t>
            </w:r>
          </w:p>
        </w:tc>
        <w:tc>
          <w:tcPr>
            <w:tcW w:w="1393"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负责领导（姓名、职务、联系电话）</w:t>
            </w:r>
          </w:p>
        </w:tc>
        <w:tc>
          <w:tcPr>
            <w:tcW w:w="1528"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联系人（姓名、职务、联系电话）</w:t>
            </w: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354" w:hRule="atLeast"/>
        </w:trPr>
        <w:tc>
          <w:tcPr>
            <w:tcW w:w="449" w:type="dxa"/>
            <w:tcBorders>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2"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4"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83"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09"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9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0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79"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06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15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734"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393" w:type="dxa"/>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c>
          <w:tcPr>
            <w:tcW w:w="1528" w:type="dxa"/>
            <w:gridSpan w:val="2"/>
            <w:tcBorders>
              <w:bottom w:val="single" w:color="000000" w:sz="4" w:space="0"/>
              <w:right w:val="single" w:color="000000" w:sz="4" w:space="0"/>
            </w:tcBorders>
            <w:shd w:val="clear" w:color="auto" w:fill="FFFFFF"/>
            <w:vAlign w:val="center"/>
          </w:tcPr>
          <w:p>
            <w:pPr>
              <w:jc w:val="center"/>
              <w:rPr>
                <w:rFonts w:ascii="宋体" w:cs="宋体"/>
                <w:color w:val="000000"/>
                <w:sz w:val="22"/>
                <w:szCs w:val="22"/>
              </w:rPr>
            </w:pPr>
          </w:p>
        </w:tc>
      </w:tr>
      <w:tr>
        <w:trPr>
          <w:trHeight w:val="1174" w:hRule="atLeast"/>
        </w:trPr>
        <w:tc>
          <w:tcPr>
            <w:tcW w:w="14558" w:type="dxa"/>
            <w:gridSpan w:val="22"/>
            <w:shd w:val="clear" w:color="auto" w:fill="FFFFFF"/>
            <w:vAlign w:val="center"/>
          </w:tcPr>
          <w:p>
            <w:pPr>
              <w:widowControl/>
              <w:jc w:val="left"/>
              <w:textAlignment w:val="center"/>
              <w:rPr>
                <w:rFonts w:ascii="黑体" w:hAnsi="宋体" w:eastAsia="黑体" w:cs="黑体"/>
                <w:b/>
                <w:color w:val="000000"/>
                <w:sz w:val="24"/>
              </w:rPr>
            </w:pPr>
            <w:r>
              <w:rPr>
                <w:rFonts w:hint="eastAsia" w:ascii="黑体" w:hAnsi="宋体" w:eastAsia="黑体" w:cs="黑体"/>
                <w:b/>
                <w:color w:val="000000"/>
                <w:kern w:val="0"/>
                <w:sz w:val="24"/>
              </w:rPr>
              <w:t>备注：</w:t>
            </w:r>
            <w:r>
              <w:rPr>
                <w:rFonts w:ascii="黑体" w:hAnsi="宋体" w:eastAsia="黑体" w:cs="黑体"/>
                <w:b/>
                <w:color w:val="000000"/>
                <w:kern w:val="0"/>
                <w:sz w:val="24"/>
              </w:rPr>
              <w:br/>
            </w:r>
            <w:r>
              <w:rPr>
                <w:rFonts w:ascii="黑体" w:hAnsi="宋体" w:eastAsia="黑体" w:cs="黑体"/>
                <w:b/>
                <w:color w:val="000000"/>
                <w:kern w:val="0"/>
                <w:sz w:val="24"/>
              </w:rPr>
              <w:t xml:space="preserve">    1.</w:t>
            </w:r>
            <w:r>
              <w:rPr>
                <w:rFonts w:hint="eastAsia" w:ascii="黑体" w:hAnsi="宋体" w:eastAsia="黑体" w:cs="黑体"/>
                <w:b/>
                <w:color w:val="000000"/>
                <w:kern w:val="0"/>
                <w:sz w:val="24"/>
              </w:rPr>
              <w:t>范围一栏填报相应项目。</w:t>
            </w:r>
            <w:r>
              <w:rPr>
                <w:rFonts w:ascii="黑体" w:hAnsi="宋体" w:eastAsia="黑体" w:cs="黑体"/>
                <w:b/>
                <w:color w:val="000000"/>
                <w:kern w:val="0"/>
                <w:sz w:val="24"/>
              </w:rPr>
              <w:br/>
            </w:r>
            <w:r>
              <w:rPr>
                <w:rFonts w:ascii="黑体" w:hAnsi="宋体" w:eastAsia="黑体" w:cs="黑体"/>
                <w:b/>
                <w:color w:val="000000"/>
                <w:kern w:val="0"/>
                <w:sz w:val="24"/>
              </w:rPr>
              <w:t xml:space="preserve">    2.</w:t>
            </w:r>
            <w:r>
              <w:rPr>
                <w:rFonts w:hint="eastAsia" w:ascii="黑体" w:hAnsi="宋体" w:eastAsia="黑体" w:cs="黑体"/>
                <w:b/>
                <w:color w:val="000000"/>
                <w:kern w:val="0"/>
                <w:sz w:val="24"/>
              </w:rPr>
              <w:t>风险评估等级：较小、一般、较大、重大。</w:t>
            </w:r>
            <w:r>
              <w:rPr>
                <w:rFonts w:ascii="黑体" w:hAnsi="宋体" w:eastAsia="黑体" w:cs="黑体"/>
                <w:b/>
                <w:color w:val="000000"/>
                <w:kern w:val="0"/>
                <w:sz w:val="24"/>
              </w:rPr>
              <w:br/>
            </w:r>
            <w:r>
              <w:rPr>
                <w:rFonts w:ascii="黑体" w:hAnsi="宋体" w:eastAsia="黑体" w:cs="黑体"/>
                <w:b/>
                <w:color w:val="000000"/>
                <w:kern w:val="0"/>
                <w:sz w:val="24"/>
              </w:rPr>
              <w:t xml:space="preserve">    3.</w:t>
            </w:r>
            <w:r>
              <w:rPr>
                <w:rFonts w:hint="eastAsia" w:ascii="黑体" w:hAnsi="宋体" w:eastAsia="黑体" w:cs="黑体"/>
                <w:b/>
                <w:color w:val="000000"/>
                <w:kern w:val="0"/>
                <w:sz w:val="24"/>
              </w:rPr>
              <w:t>可能造成的影响和引发突发事件的级别：低、中、高。</w:t>
            </w:r>
            <w:r>
              <w:rPr>
                <w:rFonts w:ascii="黑体" w:hAnsi="宋体" w:eastAsia="黑体" w:cs="黑体"/>
                <w:b/>
                <w:color w:val="000000"/>
                <w:kern w:val="0"/>
                <w:sz w:val="24"/>
              </w:rPr>
              <w:br/>
            </w:r>
            <w:r>
              <w:rPr>
                <w:rFonts w:ascii="黑体" w:hAnsi="宋体" w:eastAsia="黑体" w:cs="黑体"/>
                <w:b/>
                <w:color w:val="000000"/>
                <w:kern w:val="0"/>
                <w:sz w:val="24"/>
              </w:rPr>
              <w:t xml:space="preserve">    4.</w:t>
            </w:r>
            <w:r>
              <w:rPr>
                <w:rFonts w:hint="eastAsia" w:ascii="黑体" w:hAnsi="宋体" w:eastAsia="黑体" w:cs="黑体"/>
                <w:b/>
                <w:color w:val="000000"/>
                <w:kern w:val="0"/>
                <w:sz w:val="24"/>
              </w:rPr>
              <w:t>密级（是否公开）：是、否</w:t>
            </w:r>
            <w:r>
              <w:rPr>
                <w:rFonts w:ascii="黑体" w:hAnsi="宋体" w:eastAsia="黑体" w:cs="黑体"/>
                <w:b/>
                <w:color w:val="000000"/>
                <w:kern w:val="0"/>
                <w:sz w:val="24"/>
              </w:rPr>
              <w:br/>
            </w:r>
            <w:r>
              <w:rPr>
                <w:rFonts w:ascii="黑体" w:hAnsi="宋体" w:eastAsia="黑体" w:cs="黑体"/>
                <w:b/>
                <w:color w:val="000000"/>
                <w:kern w:val="0"/>
                <w:sz w:val="24"/>
              </w:rPr>
              <w:t xml:space="preserve">    5.</w:t>
            </w:r>
            <w:r>
              <w:rPr>
                <w:rFonts w:hint="eastAsia" w:ascii="黑体" w:hAnsi="宋体" w:eastAsia="黑体" w:cs="黑体"/>
                <w:b/>
                <w:color w:val="000000"/>
                <w:kern w:val="0"/>
                <w:sz w:val="24"/>
              </w:rPr>
              <w:t>可控程度：可控、较难控制</w:t>
            </w:r>
            <w:r>
              <w:rPr>
                <w:rFonts w:ascii="黑体" w:hAnsi="宋体" w:eastAsia="黑体" w:cs="黑体"/>
                <w:b/>
                <w:color w:val="000000"/>
                <w:kern w:val="0"/>
                <w:sz w:val="24"/>
              </w:rPr>
              <w:br/>
            </w:r>
            <w:r>
              <w:rPr>
                <w:rFonts w:ascii="黑体" w:hAnsi="宋体" w:eastAsia="黑体" w:cs="黑体"/>
                <w:b/>
                <w:color w:val="000000"/>
                <w:kern w:val="0"/>
                <w:sz w:val="24"/>
              </w:rPr>
              <w:t xml:space="preserve">    6.</w:t>
            </w:r>
            <w:r>
              <w:rPr>
                <w:rFonts w:hint="eastAsia" w:ascii="黑体" w:hAnsi="宋体" w:eastAsia="黑体" w:cs="黑体"/>
                <w:b/>
                <w:color w:val="000000"/>
                <w:kern w:val="0"/>
                <w:sz w:val="24"/>
              </w:rPr>
              <w:t>应急处置资源和能力：较强、一般</w:t>
            </w:r>
          </w:p>
        </w:tc>
      </w:tr>
    </w:tbl>
    <w:p>
      <w:pPr>
        <w:pStyle w:val="4"/>
        <w:shd w:val="clear" w:color="auto" w:fill="FFFFFF"/>
        <w:spacing w:before="0" w:beforeAutospacing="0" w:after="0" w:afterAutospacing="0" w:line="600" w:lineRule="exact"/>
        <w:rPr>
          <w:kern w:val="2"/>
        </w:rPr>
      </w:pPr>
    </w:p>
    <w:sectPr>
      <w:pgSz w:w="16838" w:h="11906" w:orient="landscape"/>
      <w:pgMar w:top="1797" w:right="1440" w:bottom="1797" w:left="144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altName w:val="微软雅黑"/>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8"/>
      </w:rPr>
    </w:pPr>
    <w:r>
      <w:fldChar w:fldCharType="begin"/>
    </w:r>
    <w:r>
      <w:rPr>
        <w:rStyle w:val="8"/>
      </w:rPr>
      <w:instrText xml:space="preserve">PAGE  </w:instrText>
    </w:r>
    <w:r>
      <w:fldChar w:fldCharType="separate"/>
    </w:r>
    <w:r>
      <w:rPr>
        <w:rStyle w:val="8"/>
      </w:rPr>
      <w:t>2</w:t>
    </w:r>
    <w:r>
      <w:fldChar w:fldCharType="end"/>
    </w:r>
  </w:p>
  <w:p>
    <w:pPr>
      <w:pStyle w:val="2"/>
      <w:ind w:right="360"/>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8"/>
      </w:rPr>
    </w:pPr>
    <w:r>
      <w:fldChar w:fldCharType="begin"/>
    </w:r>
    <w:r>
      <w:rPr>
        <w:rStyle w:val="8"/>
      </w:rPr>
      <w:instrText xml:space="preserve">PAGE  </w:instrText>
    </w:r>
    <w:r>
      <w:fldChar w:fldCharType="separate"/>
    </w:r>
    <w:r>
      <w:rPr>
        <w:rStyle w:val="8"/>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tyle>
  <w:style w:type="paragraph" w:styleId="2">
    <w:name w:val="footer"/>
    <w:basedOn w:val="1"/>
    <w:link w:val="7"/>
    <w:pPr>
      <w:tabs>
        <w:tab w:val="center" w:pos="4153"/>
        <w:tab w:val="right" w:pos="8306"/>
      </w:tabs>
      <w:snapToGrid w:val="0"/>
      <w:jc w:val="left"/>
    </w:pPr>
    <w:rPr>
      <w:rFonts w:cs="Times New Roman"/>
      <w:sz w:val="18"/>
      <w:szCs w:val="18"/>
    </w:rPr>
  </w:style>
  <w:style w:type="paragraph" w:customStyle="1" w:styleId="4">
    <w:name w:val="Normal (Web)"/>
    <w:basedOn w:val="1"/>
    <w:pPr>
      <w:widowControl/>
      <w:spacing w:before="100" w:beforeAutospacing="1" w:after="100" w:afterAutospacing="1"/>
      <w:jc w:val="left"/>
    </w:pPr>
    <w:rPr>
      <w:rFonts w:ascii="宋体" w:hAnsi="宋体" w:cs="宋体"/>
      <w:kern w:val="0"/>
      <w:sz w:val="24"/>
    </w:rPr>
  </w:style>
  <w:style w:type="paragraph" w:customStyle="1" w:styleId="5">
    <w:name w:val="List Paragraph1"/>
    <w:basedOn w:val="1"/>
    <w:pPr>
      <w:ind w:firstLine="420" w:firstLineChars="200"/>
    </w:pPr>
  </w:style>
  <w:style w:type="character" w:customStyle="1" w:styleId="6">
    <w:name w:val="font41"/>
    <w:basedOn w:val="3"/>
    <w:rPr>
      <w:rFonts w:ascii="黑体" w:hAnsi="宋体" w:eastAsia="黑体" w:cs="黑体"/>
      <w:b/>
      <w:color w:val="000000"/>
      <w:sz w:val="24"/>
      <w:szCs w:val="24"/>
      <w:u w:val="none"/>
    </w:rPr>
  </w:style>
  <w:style w:type="character" w:customStyle="1" w:styleId="7">
    <w:name w:val="Footer Char"/>
    <w:basedOn w:val="3"/>
    <w:link w:val="2"/>
    <w:semiHidden/>
    <w:rPr>
      <w:rFonts w:cs="Times New Roman"/>
      <w:sz w:val="18"/>
      <w:szCs w:val="18"/>
    </w:rPr>
  </w:style>
  <w:style w:type="character" w:customStyle="1" w:styleId="8">
    <w:name w:val="page number"/>
    <w:basedOn w:val="3"/>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422</Words>
  <Characters>2406</Characters>
  <Lines>0</Lines>
  <Paragraphs>0</Paragraphs>
  <TotalTime>0</TotalTime>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2018-06-11T15:18:00Z</dcterms:created>
  <dc:creator>Administrator</dc:creator>
  <cp:lastPrinted>2018-07-30T16:59:58Z</cp:lastPrinted>
  <dcterms:modified xsi:type="dcterms:W3CDTF">2018-07-30T17:06:09Z</dcterms:modified>
  <dc:title>揭东交字〔2018〕75号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