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color w:val="auto"/>
          <w:sz w:val="30"/>
        </w:rPr>
      </w:pPr>
      <w:bookmarkStart w:id="1" w:name="_GoBack"/>
      <w:r>
        <w:rPr>
          <w:rFonts w:hint="eastAsia" w:ascii="方正小标宋_GBK" w:hAnsi="方正小标宋_GBK" w:eastAsia="方正小标宋_GBK"/>
          <w:b w:val="0"/>
          <w:bCs w:val="0"/>
          <w:color w:val="auto"/>
          <w:sz w:val="30"/>
        </w:rPr>
        <w:t>农村危房改造领域基层政务公开标准目录</w:t>
      </w:r>
    </w:p>
    <w:bookmarkEnd w:id="1"/>
    <w:tbl>
      <w:tblPr>
        <w:tblStyle w:val="3"/>
        <w:tblpPr w:leftFromText="180" w:rightFromText="180" w:vertAnchor="text" w:horzAnchor="page" w:tblpX="892" w:tblpY="256"/>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both"/>
              <w:rPr>
                <w:rFonts w:ascii="Times New Roman" w:hAnsi="Times New Roman"/>
                <w:color w:val="auto"/>
                <w:kern w:val="0"/>
                <w:sz w:val="22"/>
              </w:rPr>
            </w:pPr>
            <w:bookmarkStart w:id="0" w:name="_Toc24724720"/>
            <w:r>
              <w:rPr>
                <w:rFonts w:ascii="Times New Roman" w:hAnsi="宋体"/>
                <w:color w:val="auto"/>
                <w:kern w:val="0"/>
                <w:sz w:val="22"/>
              </w:rPr>
              <w:t>序号</w:t>
            </w:r>
          </w:p>
        </w:tc>
        <w:tc>
          <w:tcPr>
            <w:tcW w:w="216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80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402"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018" w:type="dxa"/>
            <w:vMerge w:val="restart"/>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auto"/>
                <w:kern w:val="0"/>
                <w:sz w:val="22"/>
              </w:rPr>
            </w:pPr>
          </w:p>
        </w:tc>
        <w:tc>
          <w:tcPr>
            <w:tcW w:w="90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6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noWrap w:val="0"/>
            <w:vAlign w:val="center"/>
          </w:tcPr>
          <w:p>
            <w:pPr>
              <w:widowControl/>
              <w:jc w:val="left"/>
              <w:rPr>
                <w:rFonts w:ascii="黑体" w:hAnsi="宋体" w:eastAsia="黑体" w:cs="宋体"/>
                <w:color w:val="auto"/>
                <w:kern w:val="0"/>
                <w:sz w:val="22"/>
              </w:rPr>
            </w:pPr>
          </w:p>
        </w:tc>
        <w:tc>
          <w:tcPr>
            <w:tcW w:w="1800" w:type="dxa"/>
            <w:vMerge w:val="continue"/>
            <w:noWrap w:val="0"/>
            <w:vAlign w:val="center"/>
          </w:tcPr>
          <w:p>
            <w:pPr>
              <w:widowControl/>
              <w:jc w:val="left"/>
              <w:rPr>
                <w:rFonts w:ascii="黑体" w:hAnsi="宋体" w:eastAsia="黑体" w:cs="宋体"/>
                <w:color w:val="auto"/>
                <w:kern w:val="0"/>
                <w:sz w:val="22"/>
              </w:rPr>
            </w:pPr>
          </w:p>
        </w:tc>
        <w:tc>
          <w:tcPr>
            <w:tcW w:w="1402" w:type="dxa"/>
            <w:vMerge w:val="continue"/>
            <w:noWrap w:val="0"/>
            <w:vAlign w:val="center"/>
          </w:tcPr>
          <w:p>
            <w:pPr>
              <w:widowControl/>
              <w:jc w:val="left"/>
              <w:rPr>
                <w:rFonts w:ascii="黑体" w:hAnsi="宋体" w:eastAsia="黑体" w:cs="宋体"/>
                <w:color w:val="auto"/>
                <w:kern w:val="0"/>
                <w:sz w:val="22"/>
              </w:rPr>
            </w:pPr>
          </w:p>
        </w:tc>
        <w:tc>
          <w:tcPr>
            <w:tcW w:w="1440" w:type="dxa"/>
            <w:vMerge w:val="continue"/>
            <w:noWrap w:val="0"/>
            <w:vAlign w:val="center"/>
          </w:tcPr>
          <w:p>
            <w:pPr>
              <w:widowControl/>
              <w:jc w:val="left"/>
              <w:rPr>
                <w:rFonts w:ascii="黑体" w:hAnsi="宋体" w:eastAsia="黑体" w:cs="宋体"/>
                <w:color w:val="auto"/>
                <w:kern w:val="0"/>
                <w:sz w:val="22"/>
              </w:rPr>
            </w:pPr>
          </w:p>
        </w:tc>
        <w:tc>
          <w:tcPr>
            <w:tcW w:w="2018" w:type="dxa"/>
            <w:vMerge w:val="continue"/>
            <w:noWrap w:val="0"/>
            <w:vAlign w:val="center"/>
          </w:tcPr>
          <w:p>
            <w:pPr>
              <w:widowControl/>
              <w:jc w:val="left"/>
              <w:rPr>
                <w:rFonts w:ascii="黑体" w:hAnsi="宋体" w:eastAsia="黑体" w:cs="宋体"/>
                <w:color w:val="auto"/>
                <w:kern w:val="0"/>
                <w:sz w:val="22"/>
              </w:rPr>
            </w:pP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noWrap w:val="0"/>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trPr>
        <w:tc>
          <w:tcPr>
            <w:tcW w:w="540" w:type="dxa"/>
            <w:noWrap w:val="0"/>
            <w:vAlign w:val="center"/>
          </w:tcPr>
          <w:p>
            <w:pPr>
              <w:widowControl/>
              <w:jc w:val="center"/>
              <w:rPr>
                <w:rFonts w:ascii="Times New Roman" w:hAnsi="Times New Roman"/>
                <w:color w:val="auto"/>
                <w:kern w:val="0"/>
                <w:sz w:val="16"/>
                <w:szCs w:val="16"/>
              </w:rPr>
            </w:pPr>
            <w:r>
              <w:rPr>
                <w:rFonts w:hint="eastAsia" w:ascii="Times New Roman" w:hAnsi="Times New Roman"/>
                <w:color w:val="auto"/>
                <w:kern w:val="0"/>
                <w:sz w:val="16"/>
                <w:szCs w:val="16"/>
              </w:rPr>
              <w:t>1</w:t>
            </w:r>
          </w:p>
        </w:tc>
        <w:tc>
          <w:tcPr>
            <w:tcW w:w="9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部门文件</w:t>
            </w:r>
          </w:p>
        </w:tc>
        <w:tc>
          <w:tcPr>
            <w:tcW w:w="126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农村危房改造相关文件</w:t>
            </w:r>
          </w:p>
        </w:tc>
        <w:tc>
          <w:tcPr>
            <w:tcW w:w="1980" w:type="dxa"/>
            <w:noWrap w:val="0"/>
            <w:vAlign w:val="center"/>
          </w:tcPr>
          <w:p>
            <w:pPr>
              <w:widowControl/>
              <w:rPr>
                <w:rFonts w:ascii="黑体" w:hAnsi="宋体" w:eastAsia="黑体" w:cs="宋体"/>
                <w:color w:val="auto"/>
                <w:kern w:val="0"/>
                <w:sz w:val="22"/>
              </w:rPr>
            </w:pPr>
            <w:r>
              <w:rPr>
                <w:rFonts w:hint="eastAsia" w:ascii="仿宋_GB2312" w:hAnsi="宋体" w:eastAsia="仿宋_GB2312"/>
                <w:color w:val="auto"/>
                <w:sz w:val="18"/>
                <w:szCs w:val="18"/>
              </w:rPr>
              <w:t>文件分类、生成日期、标题、文号、有效性、关键词和具体内容等</w:t>
            </w:r>
          </w:p>
        </w:tc>
        <w:tc>
          <w:tcPr>
            <w:tcW w:w="1800" w:type="dxa"/>
            <w:noWrap w:val="0"/>
            <w:vAlign w:val="center"/>
          </w:tcPr>
          <w:p>
            <w:pPr>
              <w:widowControl/>
              <w:rPr>
                <w:rFonts w:ascii="黑体" w:hAnsi="宋体" w:eastAsia="黑体" w:cs="宋体"/>
                <w:color w:val="auto"/>
                <w:kern w:val="0"/>
                <w:sz w:val="22"/>
              </w:rPr>
            </w:pPr>
            <w:r>
              <w:rPr>
                <w:rFonts w:hint="eastAsia" w:ascii="仿宋_GB2312" w:hAnsi="宋体" w:eastAsia="仿宋_GB2312"/>
                <w:color w:val="auto"/>
                <w:sz w:val="18"/>
                <w:szCs w:val="18"/>
              </w:rPr>
              <w:t>《政府信息公开条例》、《关于全面推进政务公开工作的意见》及其实施细则</w:t>
            </w:r>
          </w:p>
        </w:tc>
        <w:tc>
          <w:tcPr>
            <w:tcW w:w="1402" w:type="dxa"/>
            <w:noWrap w:val="0"/>
            <w:vAlign w:val="center"/>
          </w:tcPr>
          <w:p>
            <w:pPr>
              <w:widowControl/>
              <w:rPr>
                <w:rFonts w:ascii="黑体" w:hAnsi="宋体" w:eastAsia="黑体" w:cs="宋体"/>
                <w:color w:val="auto"/>
                <w:kern w:val="0"/>
                <w:sz w:val="22"/>
              </w:rPr>
            </w:pPr>
            <w:r>
              <w:rPr>
                <w:rFonts w:hint="eastAsia" w:ascii="仿宋_GB2312" w:hAnsi="宋体" w:eastAsia="仿宋_GB2312"/>
                <w:color w:val="auto"/>
                <w:sz w:val="18"/>
                <w:szCs w:val="18"/>
              </w:rPr>
              <w:t>信息形成之日起20个工作日内</w:t>
            </w:r>
          </w:p>
        </w:tc>
        <w:tc>
          <w:tcPr>
            <w:tcW w:w="1440" w:type="dxa"/>
            <w:noWrap w:val="0"/>
            <w:vAlign w:val="center"/>
          </w:tcPr>
          <w:p>
            <w:pPr>
              <w:widowControl/>
              <w:rPr>
                <w:rFonts w:ascii="黑体" w:hAnsi="宋体" w:eastAsia="黑体" w:cs="宋体"/>
                <w:color w:val="auto"/>
                <w:kern w:val="0"/>
                <w:sz w:val="22"/>
              </w:rPr>
            </w:pPr>
            <w:r>
              <w:rPr>
                <w:rFonts w:hint="eastAsia" w:ascii="仿宋_GB2312" w:hAnsi="宋体" w:eastAsia="仿宋_GB2312"/>
                <w:color w:val="auto"/>
                <w:sz w:val="18"/>
                <w:szCs w:val="18"/>
                <w:lang w:eastAsia="zh-CN"/>
              </w:rPr>
              <w:t>市住建局</w:t>
            </w:r>
            <w:r>
              <w:rPr>
                <w:rFonts w:hint="eastAsia" w:ascii="仿宋_GB2312" w:hAnsi="宋体" w:eastAsia="仿宋_GB2312"/>
                <w:color w:val="auto"/>
                <w:sz w:val="18"/>
                <w:szCs w:val="18"/>
              </w:rPr>
              <w:t>等相关职能部门</w:t>
            </w:r>
          </w:p>
        </w:tc>
        <w:tc>
          <w:tcPr>
            <w:tcW w:w="2018" w:type="dxa"/>
            <w:noWrap w:val="0"/>
            <w:vAlign w:val="center"/>
          </w:tcPr>
          <w:p>
            <w:pPr>
              <w:widowControl/>
              <w:rPr>
                <w:rFonts w:ascii="黑体" w:hAnsi="宋体" w:eastAsia="黑体" w:cs="宋体"/>
                <w:color w:val="auto"/>
                <w:kern w:val="0"/>
                <w:sz w:val="22"/>
              </w:rPr>
            </w:pPr>
            <w:r>
              <w:rPr>
                <w:rFonts w:hint="eastAsia" w:ascii="仿宋_GB2312" w:hAnsi="宋体" w:eastAsia="仿宋_GB2312"/>
                <w:color w:val="auto"/>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trPr>
        <w:tc>
          <w:tcPr>
            <w:tcW w:w="540" w:type="dxa"/>
            <w:noWrap w:val="0"/>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2</w:t>
            </w:r>
          </w:p>
        </w:tc>
        <w:tc>
          <w:tcPr>
            <w:tcW w:w="90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政策解读</w:t>
            </w:r>
          </w:p>
        </w:tc>
        <w:tc>
          <w:tcPr>
            <w:tcW w:w="126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上级政策解读</w:t>
            </w:r>
          </w:p>
        </w:tc>
        <w:tc>
          <w:tcPr>
            <w:tcW w:w="1980" w:type="dxa"/>
            <w:vMerge w:val="restart"/>
            <w:noWrap w:val="0"/>
            <w:vAlign w:val="center"/>
          </w:tcPr>
          <w:p>
            <w:pPr>
              <w:widowControl/>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rPr>
              <w:t>着重解读政策措施的背景依据、目标任务、主要内容、涉及范围、执行标准，以及注意事项、关键词诠释、惠民利民举措、新旧政策差异等。</w:t>
            </w:r>
          </w:p>
        </w:tc>
        <w:tc>
          <w:tcPr>
            <w:tcW w:w="1800" w:type="dxa"/>
            <w:vMerge w:val="restart"/>
            <w:noWrap w:val="0"/>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rPr>
              <w:t>《政府信息公开条例》、《关于全面推进政务公开工作的意见》及其实施细则</w:t>
            </w:r>
          </w:p>
        </w:tc>
        <w:tc>
          <w:tcPr>
            <w:tcW w:w="1402" w:type="dxa"/>
            <w:vMerge w:val="restart"/>
            <w:noWrap w:val="0"/>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Merge w:val="restart"/>
            <w:noWrap w:val="0"/>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市住建局</w:t>
            </w:r>
            <w:r>
              <w:rPr>
                <w:rFonts w:hint="eastAsia" w:ascii="仿宋_GB2312" w:hAnsi="宋体" w:eastAsia="仿宋_GB2312"/>
                <w:color w:val="auto"/>
                <w:sz w:val="18"/>
                <w:szCs w:val="18"/>
              </w:rPr>
              <w:t>等相关职能部门</w:t>
            </w:r>
          </w:p>
        </w:tc>
        <w:tc>
          <w:tcPr>
            <w:tcW w:w="2018" w:type="dxa"/>
            <w:vMerge w:val="restart"/>
            <w:noWrap w:val="0"/>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noWrap w:val="0"/>
            <w:vAlign w:val="center"/>
          </w:tcPr>
          <w:p>
            <w:pPr>
              <w:jc w:val="center"/>
              <w:rPr>
                <w:rFonts w:hint="eastAsia" w:ascii="仿宋_GB2312" w:hAnsi="宋体" w:eastAsia="仿宋_GB2312"/>
                <w:color w:val="auto"/>
                <w:sz w:val="18"/>
                <w:szCs w:val="18"/>
              </w:rPr>
            </w:pPr>
          </w:p>
        </w:tc>
        <w:tc>
          <w:tcPr>
            <w:tcW w:w="551"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noWrap w:val="0"/>
            <w:vAlign w:val="center"/>
          </w:tcPr>
          <w:p>
            <w:pPr>
              <w:jc w:val="center"/>
              <w:rPr>
                <w:rFonts w:hint="eastAsia" w:ascii="仿宋_GB2312" w:hAnsi="宋体" w:eastAsia="仿宋_GB2312"/>
                <w:color w:val="auto"/>
                <w:sz w:val="18"/>
                <w:szCs w:val="18"/>
              </w:rPr>
            </w:pPr>
          </w:p>
        </w:tc>
        <w:tc>
          <w:tcPr>
            <w:tcW w:w="72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trPr>
        <w:tc>
          <w:tcPr>
            <w:tcW w:w="540" w:type="dxa"/>
            <w:noWrap w:val="0"/>
            <w:vAlign w:val="center"/>
          </w:tcPr>
          <w:p>
            <w:pPr>
              <w:widowControl/>
              <w:jc w:val="center"/>
              <w:rPr>
                <w:rFonts w:hint="eastAsia" w:ascii="Times New Roman" w:hAnsi="Times New Roman"/>
                <w:color w:val="auto"/>
                <w:kern w:val="0"/>
                <w:sz w:val="16"/>
                <w:szCs w:val="16"/>
              </w:rPr>
            </w:pPr>
            <w:r>
              <w:rPr>
                <w:rFonts w:hint="eastAsia" w:ascii="Times New Roman" w:hAnsi="Times New Roman"/>
                <w:color w:val="auto"/>
                <w:kern w:val="0"/>
                <w:sz w:val="16"/>
                <w:szCs w:val="16"/>
              </w:rPr>
              <w:t>3</w:t>
            </w:r>
          </w:p>
        </w:tc>
        <w:tc>
          <w:tcPr>
            <w:tcW w:w="900" w:type="dxa"/>
            <w:vMerge w:val="continue"/>
            <w:noWrap w:val="0"/>
            <w:vAlign w:val="center"/>
          </w:tcPr>
          <w:p>
            <w:pPr>
              <w:jc w:val="center"/>
              <w:rPr>
                <w:rFonts w:hint="eastAsia" w:ascii="仿宋_GB2312" w:hAnsi="宋体" w:eastAsia="仿宋_GB2312"/>
                <w:color w:val="auto"/>
                <w:sz w:val="18"/>
                <w:szCs w:val="18"/>
              </w:rPr>
            </w:pPr>
          </w:p>
        </w:tc>
        <w:tc>
          <w:tcPr>
            <w:tcW w:w="126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本级政策解读</w:t>
            </w:r>
          </w:p>
        </w:tc>
        <w:tc>
          <w:tcPr>
            <w:tcW w:w="1980" w:type="dxa"/>
            <w:vMerge w:val="continue"/>
            <w:noWrap w:val="0"/>
            <w:vAlign w:val="center"/>
          </w:tcPr>
          <w:p>
            <w:pPr>
              <w:widowControl/>
              <w:rPr>
                <w:rFonts w:hint="eastAsia" w:ascii="仿宋_GB2312" w:hAnsi="宋体" w:eastAsia="仿宋_GB2312"/>
                <w:color w:val="auto"/>
                <w:sz w:val="18"/>
                <w:szCs w:val="18"/>
              </w:rPr>
            </w:pPr>
          </w:p>
        </w:tc>
        <w:tc>
          <w:tcPr>
            <w:tcW w:w="1800" w:type="dxa"/>
            <w:vMerge w:val="continue"/>
            <w:noWrap w:val="0"/>
            <w:vAlign w:val="center"/>
          </w:tcPr>
          <w:p>
            <w:pPr>
              <w:widowControl/>
              <w:rPr>
                <w:rFonts w:hint="eastAsia" w:ascii="仿宋_GB2312" w:hAnsi="宋体" w:eastAsia="仿宋_GB2312"/>
                <w:color w:val="auto"/>
                <w:sz w:val="18"/>
                <w:szCs w:val="18"/>
              </w:rPr>
            </w:pPr>
          </w:p>
        </w:tc>
        <w:tc>
          <w:tcPr>
            <w:tcW w:w="1402" w:type="dxa"/>
            <w:vMerge w:val="continue"/>
            <w:noWrap w:val="0"/>
            <w:vAlign w:val="center"/>
          </w:tcPr>
          <w:p>
            <w:pPr>
              <w:widowControl/>
              <w:rPr>
                <w:rFonts w:hint="eastAsia" w:ascii="仿宋_GB2312" w:hAnsi="宋体" w:eastAsia="仿宋_GB2312"/>
                <w:color w:val="auto"/>
                <w:sz w:val="18"/>
                <w:szCs w:val="18"/>
              </w:rPr>
            </w:pPr>
          </w:p>
        </w:tc>
        <w:tc>
          <w:tcPr>
            <w:tcW w:w="1440" w:type="dxa"/>
            <w:vMerge w:val="continue"/>
            <w:noWrap w:val="0"/>
            <w:vAlign w:val="center"/>
          </w:tcPr>
          <w:p>
            <w:pPr>
              <w:widowControl/>
              <w:rPr>
                <w:rFonts w:hint="eastAsia" w:ascii="仿宋_GB2312" w:hAnsi="宋体" w:eastAsia="仿宋_GB2312"/>
                <w:color w:val="auto"/>
                <w:sz w:val="18"/>
                <w:szCs w:val="18"/>
              </w:rPr>
            </w:pPr>
          </w:p>
        </w:tc>
        <w:tc>
          <w:tcPr>
            <w:tcW w:w="2018" w:type="dxa"/>
            <w:vMerge w:val="continue"/>
            <w:noWrap w:val="0"/>
            <w:vAlign w:val="center"/>
          </w:tcPr>
          <w:p>
            <w:pPr>
              <w:widowControl/>
              <w:rPr>
                <w:rFonts w:hint="eastAsia" w:ascii="仿宋_GB2312" w:hAnsi="宋体" w:eastAsia="仿宋_GB2312"/>
                <w:color w:val="auto"/>
                <w:sz w:val="18"/>
                <w:szCs w:val="18"/>
              </w:rPr>
            </w:pPr>
          </w:p>
        </w:tc>
        <w:tc>
          <w:tcPr>
            <w:tcW w:w="720" w:type="dxa"/>
            <w:vMerge w:val="continue"/>
            <w:noWrap w:val="0"/>
            <w:vAlign w:val="center"/>
          </w:tcPr>
          <w:p>
            <w:pPr>
              <w:jc w:val="center"/>
              <w:rPr>
                <w:rFonts w:hint="eastAsia" w:ascii="仿宋_GB2312" w:hAnsi="宋体" w:eastAsia="仿宋_GB2312"/>
                <w:color w:val="auto"/>
                <w:sz w:val="18"/>
                <w:szCs w:val="18"/>
              </w:rPr>
            </w:pPr>
          </w:p>
        </w:tc>
        <w:tc>
          <w:tcPr>
            <w:tcW w:w="709" w:type="dxa"/>
            <w:vMerge w:val="continue"/>
            <w:noWrap w:val="0"/>
            <w:vAlign w:val="center"/>
          </w:tcPr>
          <w:p>
            <w:pPr>
              <w:jc w:val="center"/>
              <w:rPr>
                <w:rFonts w:hint="eastAsia" w:ascii="仿宋_GB2312" w:hAnsi="宋体" w:eastAsia="仿宋_GB2312"/>
                <w:color w:val="auto"/>
                <w:sz w:val="18"/>
                <w:szCs w:val="18"/>
              </w:rPr>
            </w:pPr>
          </w:p>
        </w:tc>
        <w:tc>
          <w:tcPr>
            <w:tcW w:w="551" w:type="dxa"/>
            <w:vMerge w:val="continue"/>
            <w:noWrap w:val="0"/>
            <w:vAlign w:val="center"/>
          </w:tcPr>
          <w:p>
            <w:pPr>
              <w:jc w:val="center"/>
              <w:rPr>
                <w:rFonts w:hint="eastAsia" w:ascii="仿宋_GB2312" w:hAnsi="宋体" w:eastAsia="仿宋_GB2312"/>
                <w:color w:val="auto"/>
                <w:sz w:val="18"/>
                <w:szCs w:val="18"/>
              </w:rPr>
            </w:pPr>
          </w:p>
        </w:tc>
        <w:tc>
          <w:tcPr>
            <w:tcW w:w="720" w:type="dxa"/>
            <w:vMerge w:val="continue"/>
            <w:noWrap w:val="0"/>
            <w:vAlign w:val="center"/>
          </w:tcPr>
          <w:p>
            <w:pPr>
              <w:jc w:val="center"/>
              <w:rPr>
                <w:rFonts w:hint="eastAsia" w:ascii="仿宋_GB2312" w:hAnsi="宋体" w:eastAsia="仿宋_GB2312"/>
                <w:color w:val="auto"/>
                <w:sz w:val="18"/>
                <w:szCs w:val="18"/>
              </w:rPr>
            </w:pPr>
          </w:p>
        </w:tc>
        <w:tc>
          <w:tcPr>
            <w:tcW w:w="720" w:type="dxa"/>
            <w:vMerge w:val="continue"/>
            <w:noWrap w:val="0"/>
            <w:vAlign w:val="center"/>
          </w:tcPr>
          <w:p>
            <w:pPr>
              <w:jc w:val="center"/>
              <w:rPr>
                <w:rFonts w:hint="eastAsia" w:ascii="仿宋_GB2312" w:hAnsi="宋体" w:eastAsia="仿宋_GB2312"/>
                <w:color w:val="auto"/>
                <w:sz w:val="18"/>
                <w:szCs w:val="18"/>
              </w:rPr>
            </w:pPr>
          </w:p>
        </w:tc>
        <w:tc>
          <w:tcPr>
            <w:tcW w:w="720" w:type="dxa"/>
            <w:vMerge w:val="continue"/>
            <w:noWrap w:val="0"/>
            <w:vAlign w:val="center"/>
          </w:tcPr>
          <w:p>
            <w:pPr>
              <w:jc w:val="cente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auto"/>
                <w:kern w:val="0"/>
                <w:sz w:val="16"/>
                <w:szCs w:val="16"/>
                <w:lang w:eastAsia="zh-CN"/>
              </w:rPr>
            </w:pPr>
            <w:r>
              <w:rPr>
                <w:rFonts w:hint="eastAsia" w:ascii="Times New Roman" w:hAnsi="Times New Roman"/>
                <w:color w:val="auto"/>
                <w:kern w:val="0"/>
                <w:sz w:val="16"/>
                <w:szCs w:val="16"/>
                <w:lang w:val="en-US" w:eastAsia="zh-CN"/>
              </w:rPr>
              <w:t>4</w:t>
            </w:r>
          </w:p>
        </w:tc>
        <w:tc>
          <w:tcPr>
            <w:tcW w:w="9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计划实施</w:t>
            </w:r>
          </w:p>
        </w:tc>
        <w:tc>
          <w:tcPr>
            <w:tcW w:w="126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组织培训计划实施</w:t>
            </w:r>
          </w:p>
        </w:tc>
        <w:tc>
          <w:tcPr>
            <w:tcW w:w="198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组织开展农村建筑工匠培训文件</w:t>
            </w:r>
          </w:p>
          <w:p>
            <w:pPr>
              <w:rPr>
                <w:rFonts w:hint="eastAsia" w:ascii="仿宋_GB2312" w:hAnsi="宋体" w:eastAsia="仿宋_GB2312"/>
                <w:color w:val="auto"/>
                <w:sz w:val="18"/>
                <w:szCs w:val="18"/>
              </w:rPr>
            </w:pPr>
          </w:p>
        </w:tc>
        <w:tc>
          <w:tcPr>
            <w:tcW w:w="1800" w:type="dxa"/>
            <w:noWrap w:val="0"/>
            <w:vAlign w:val="center"/>
          </w:tcPr>
          <w:p>
            <w:pPr>
              <w:widowControl/>
              <w:rPr>
                <w:rFonts w:hint="eastAsia" w:ascii="仿宋_GB2312" w:hAnsi="宋体" w:eastAsia="仿宋_GB2312"/>
                <w:color w:val="auto"/>
                <w:sz w:val="18"/>
                <w:szCs w:val="18"/>
              </w:rPr>
            </w:pPr>
            <w:r>
              <w:rPr>
                <w:rFonts w:hint="eastAsia" w:ascii="仿宋_GB2312" w:hAnsi="宋体" w:eastAsia="仿宋_GB2312"/>
                <w:color w:val="auto"/>
                <w:sz w:val="18"/>
                <w:szCs w:val="18"/>
              </w:rPr>
              <w:t>《住房城乡建设部 财政部 国务院扶贫办关于加强和完善建档立卡贫困户等重点对象农村危房改造若干问题的通知》等</w:t>
            </w:r>
          </w:p>
        </w:tc>
        <w:tc>
          <w:tcPr>
            <w:tcW w:w="1402"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市住建局</w:t>
            </w:r>
            <w:r>
              <w:rPr>
                <w:rFonts w:hint="eastAsia" w:ascii="仿宋_GB2312" w:hAnsi="宋体" w:eastAsia="仿宋_GB2312"/>
                <w:color w:val="auto"/>
                <w:sz w:val="18"/>
                <w:szCs w:val="18"/>
              </w:rPr>
              <w:t>等相关职能部门</w:t>
            </w:r>
          </w:p>
        </w:tc>
        <w:tc>
          <w:tcPr>
            <w:tcW w:w="2018"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auto"/>
                <w:kern w:val="0"/>
                <w:sz w:val="16"/>
                <w:szCs w:val="16"/>
                <w:lang w:eastAsia="zh-CN"/>
              </w:rPr>
            </w:pPr>
            <w:r>
              <w:rPr>
                <w:rFonts w:hint="eastAsia" w:ascii="Times New Roman" w:hAnsi="Times New Roman"/>
                <w:color w:val="auto"/>
                <w:kern w:val="0"/>
                <w:sz w:val="16"/>
                <w:szCs w:val="16"/>
                <w:lang w:val="en-US" w:eastAsia="zh-CN"/>
              </w:rPr>
              <w:t>5</w:t>
            </w:r>
          </w:p>
        </w:tc>
        <w:tc>
          <w:tcPr>
            <w:tcW w:w="90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条件与标准</w:t>
            </w:r>
          </w:p>
        </w:tc>
        <w:tc>
          <w:tcPr>
            <w:tcW w:w="126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农村危房等级评定标准</w:t>
            </w:r>
          </w:p>
        </w:tc>
        <w:tc>
          <w:tcPr>
            <w:tcW w:w="198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农村危房等级评定相关标准</w:t>
            </w:r>
          </w:p>
        </w:tc>
        <w:tc>
          <w:tcPr>
            <w:tcW w:w="180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市、县各级住建部门</w:t>
            </w:r>
          </w:p>
        </w:tc>
        <w:tc>
          <w:tcPr>
            <w:tcW w:w="2018"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auto"/>
                <w:kern w:val="0"/>
                <w:sz w:val="16"/>
                <w:szCs w:val="16"/>
                <w:lang w:eastAsia="zh-CN"/>
              </w:rPr>
            </w:pPr>
            <w:r>
              <w:rPr>
                <w:rFonts w:hint="eastAsia" w:ascii="Times New Roman" w:hAnsi="Times New Roman"/>
                <w:color w:val="auto"/>
                <w:kern w:val="0"/>
                <w:sz w:val="16"/>
                <w:szCs w:val="16"/>
                <w:lang w:val="en-US" w:eastAsia="zh-CN"/>
              </w:rPr>
              <w:t>6</w:t>
            </w:r>
          </w:p>
        </w:tc>
        <w:tc>
          <w:tcPr>
            <w:tcW w:w="900" w:type="dxa"/>
            <w:vMerge w:val="continue"/>
            <w:noWrap w:val="0"/>
            <w:vAlign w:val="center"/>
          </w:tcPr>
          <w:p>
            <w:pPr>
              <w:jc w:val="center"/>
              <w:rPr>
                <w:rFonts w:hint="eastAsia" w:ascii="仿宋_GB2312" w:hAnsi="宋体" w:eastAsia="仿宋_GB2312"/>
                <w:color w:val="auto"/>
                <w:sz w:val="18"/>
                <w:szCs w:val="18"/>
              </w:rPr>
            </w:pPr>
          </w:p>
        </w:tc>
        <w:tc>
          <w:tcPr>
            <w:tcW w:w="126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农村危房改造对象申请条件</w:t>
            </w:r>
          </w:p>
        </w:tc>
        <w:tc>
          <w:tcPr>
            <w:tcW w:w="198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农村危房改造农户申请条件</w:t>
            </w:r>
          </w:p>
        </w:tc>
        <w:tc>
          <w:tcPr>
            <w:tcW w:w="18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市、县各级住建部门</w:t>
            </w:r>
          </w:p>
        </w:tc>
        <w:tc>
          <w:tcPr>
            <w:tcW w:w="2018"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auto"/>
                <w:kern w:val="0"/>
                <w:sz w:val="16"/>
                <w:szCs w:val="16"/>
                <w:lang w:eastAsia="zh-CN"/>
              </w:rPr>
            </w:pPr>
            <w:r>
              <w:rPr>
                <w:rFonts w:hint="eastAsia" w:ascii="Times New Roman" w:hAnsi="Times New Roman"/>
                <w:color w:val="auto"/>
                <w:kern w:val="0"/>
                <w:sz w:val="16"/>
                <w:szCs w:val="16"/>
                <w:lang w:val="en-US" w:eastAsia="zh-CN"/>
              </w:rPr>
              <w:t>7</w:t>
            </w:r>
          </w:p>
        </w:tc>
        <w:tc>
          <w:tcPr>
            <w:tcW w:w="900" w:type="dxa"/>
            <w:vMerge w:val="restart"/>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条件与标准</w:t>
            </w:r>
          </w:p>
        </w:tc>
        <w:tc>
          <w:tcPr>
            <w:tcW w:w="126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农村危房改造资金补助标准</w:t>
            </w:r>
          </w:p>
        </w:tc>
        <w:tc>
          <w:tcPr>
            <w:tcW w:w="198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农村危房改造资金补助标准</w:t>
            </w:r>
          </w:p>
        </w:tc>
        <w:tc>
          <w:tcPr>
            <w:tcW w:w="18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市</w:t>
            </w:r>
            <w:r>
              <w:rPr>
                <w:rFonts w:hint="eastAsia" w:ascii="仿宋_GB2312" w:hAnsi="宋体" w:eastAsia="仿宋_GB2312"/>
                <w:color w:val="auto"/>
                <w:sz w:val="18"/>
                <w:szCs w:val="18"/>
              </w:rPr>
              <w:t>住建</w:t>
            </w:r>
            <w:r>
              <w:rPr>
                <w:rFonts w:hint="eastAsia" w:ascii="仿宋_GB2312" w:hAnsi="宋体" w:eastAsia="仿宋_GB2312"/>
                <w:color w:val="auto"/>
                <w:sz w:val="18"/>
                <w:szCs w:val="18"/>
                <w:lang w:eastAsia="zh-CN"/>
              </w:rPr>
              <w:t>局</w:t>
            </w:r>
            <w:r>
              <w:rPr>
                <w:rFonts w:hint="eastAsia" w:ascii="仿宋_GB2312" w:hAnsi="宋体" w:eastAsia="仿宋_GB2312"/>
                <w:color w:val="auto"/>
                <w:sz w:val="18"/>
                <w:szCs w:val="18"/>
              </w:rPr>
              <w:t>、财政</w:t>
            </w:r>
            <w:r>
              <w:rPr>
                <w:rFonts w:hint="eastAsia" w:ascii="仿宋_GB2312" w:hAnsi="宋体" w:eastAsia="仿宋_GB2312"/>
                <w:color w:val="auto"/>
                <w:sz w:val="18"/>
                <w:szCs w:val="18"/>
                <w:lang w:eastAsia="zh-CN"/>
              </w:rPr>
              <w:t>局</w:t>
            </w:r>
            <w:r>
              <w:rPr>
                <w:rFonts w:hint="eastAsia" w:ascii="仿宋_GB2312" w:hAnsi="宋体" w:eastAsia="仿宋_GB2312"/>
                <w:color w:val="auto"/>
                <w:sz w:val="18"/>
                <w:szCs w:val="18"/>
              </w:rPr>
              <w:t>等部门</w:t>
            </w:r>
          </w:p>
        </w:tc>
        <w:tc>
          <w:tcPr>
            <w:tcW w:w="2018"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auto"/>
                <w:kern w:val="0"/>
                <w:sz w:val="16"/>
                <w:szCs w:val="16"/>
                <w:lang w:eastAsia="zh-CN"/>
              </w:rPr>
            </w:pPr>
            <w:r>
              <w:rPr>
                <w:rFonts w:hint="eastAsia" w:ascii="Times New Roman" w:hAnsi="Times New Roman"/>
                <w:color w:val="auto"/>
                <w:kern w:val="0"/>
                <w:sz w:val="16"/>
                <w:szCs w:val="16"/>
                <w:lang w:val="en-US" w:eastAsia="zh-CN"/>
              </w:rPr>
              <w:t>8</w:t>
            </w:r>
          </w:p>
        </w:tc>
        <w:tc>
          <w:tcPr>
            <w:tcW w:w="900" w:type="dxa"/>
            <w:vMerge w:val="continue"/>
            <w:noWrap w:val="0"/>
            <w:vAlign w:val="center"/>
          </w:tcPr>
          <w:p>
            <w:pPr>
              <w:jc w:val="center"/>
              <w:rPr>
                <w:rFonts w:hint="eastAsia" w:ascii="仿宋_GB2312" w:hAnsi="宋体" w:eastAsia="仿宋_GB2312"/>
                <w:color w:val="auto"/>
                <w:sz w:val="18"/>
                <w:szCs w:val="18"/>
              </w:rPr>
            </w:pPr>
          </w:p>
        </w:tc>
        <w:tc>
          <w:tcPr>
            <w:tcW w:w="126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农村危房改造竣工合格标准</w:t>
            </w:r>
          </w:p>
        </w:tc>
        <w:tc>
          <w:tcPr>
            <w:tcW w:w="198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农村危房改造竣工验收要求</w:t>
            </w:r>
          </w:p>
        </w:tc>
        <w:tc>
          <w:tcPr>
            <w:tcW w:w="18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县级住建部门</w:t>
            </w:r>
          </w:p>
        </w:tc>
        <w:tc>
          <w:tcPr>
            <w:tcW w:w="2018"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auto"/>
                <w:kern w:val="0"/>
                <w:sz w:val="16"/>
                <w:szCs w:val="16"/>
                <w:lang w:eastAsia="zh-CN"/>
              </w:rPr>
            </w:pPr>
            <w:r>
              <w:rPr>
                <w:rFonts w:hint="eastAsia" w:ascii="Times New Roman" w:hAnsi="Times New Roman"/>
                <w:color w:val="auto"/>
                <w:kern w:val="0"/>
                <w:sz w:val="16"/>
                <w:szCs w:val="16"/>
                <w:lang w:val="en-US" w:eastAsia="zh-CN"/>
              </w:rPr>
              <w:t>9</w:t>
            </w:r>
          </w:p>
        </w:tc>
        <w:tc>
          <w:tcPr>
            <w:tcW w:w="9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对象认定</w:t>
            </w:r>
          </w:p>
        </w:tc>
        <w:tc>
          <w:tcPr>
            <w:tcW w:w="126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危改户认定程序</w:t>
            </w:r>
          </w:p>
        </w:tc>
        <w:tc>
          <w:tcPr>
            <w:tcW w:w="198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农村危房改造申请程序</w:t>
            </w:r>
          </w:p>
        </w:tc>
        <w:tc>
          <w:tcPr>
            <w:tcW w:w="18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县级住房和城乡建设部门</w:t>
            </w:r>
          </w:p>
        </w:tc>
        <w:tc>
          <w:tcPr>
            <w:tcW w:w="2018"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default" w:ascii="Times New Roman" w:hAnsi="Times New Roman" w:eastAsia="宋体"/>
                <w:color w:val="auto"/>
                <w:kern w:val="0"/>
                <w:sz w:val="16"/>
                <w:szCs w:val="16"/>
                <w:lang w:val="en-US" w:eastAsia="zh-CN"/>
              </w:rPr>
            </w:pPr>
            <w:r>
              <w:rPr>
                <w:rFonts w:hint="eastAsia" w:ascii="Times New Roman" w:hAnsi="Times New Roman"/>
                <w:color w:val="auto"/>
                <w:kern w:val="0"/>
                <w:sz w:val="16"/>
                <w:szCs w:val="16"/>
                <w:lang w:val="en-US" w:eastAsia="zh-CN"/>
              </w:rPr>
              <w:t>10</w:t>
            </w:r>
          </w:p>
        </w:tc>
        <w:tc>
          <w:tcPr>
            <w:tcW w:w="9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预算管理</w:t>
            </w:r>
          </w:p>
        </w:tc>
        <w:tc>
          <w:tcPr>
            <w:tcW w:w="126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预算编制和执行情况</w:t>
            </w:r>
          </w:p>
        </w:tc>
        <w:tc>
          <w:tcPr>
            <w:tcW w:w="198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预算、预算调整、决算、预算执行情况的报告及报表有关内容，部门预算、决算及报表有关内容</w:t>
            </w:r>
          </w:p>
        </w:tc>
        <w:tc>
          <w:tcPr>
            <w:tcW w:w="18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经县级人民代表大会、人民代表大会常务委员会批准或财政部门批复后20日内</w:t>
            </w:r>
          </w:p>
        </w:tc>
        <w:tc>
          <w:tcPr>
            <w:tcW w:w="1440" w:type="dxa"/>
            <w:noWrap w:val="0"/>
            <w:vAlign w:val="center"/>
          </w:tcPr>
          <w:p>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县级财政</w:t>
            </w:r>
          </w:p>
        </w:tc>
        <w:tc>
          <w:tcPr>
            <w:tcW w:w="2018"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办事大厅、公示栏、便民服务窗口等场所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auto"/>
                <w:kern w:val="0"/>
                <w:sz w:val="16"/>
                <w:szCs w:val="16"/>
                <w:lang w:eastAsia="zh-CN"/>
              </w:rPr>
            </w:pPr>
            <w:r>
              <w:rPr>
                <w:rFonts w:hint="eastAsia" w:ascii="Times New Roman" w:hAnsi="Times New Roman"/>
                <w:color w:val="auto"/>
                <w:kern w:val="0"/>
                <w:sz w:val="16"/>
                <w:szCs w:val="16"/>
              </w:rPr>
              <w:t>1</w:t>
            </w:r>
            <w:r>
              <w:rPr>
                <w:rFonts w:hint="eastAsia" w:ascii="Times New Roman" w:hAnsi="Times New Roman"/>
                <w:color w:val="auto"/>
                <w:kern w:val="0"/>
                <w:sz w:val="16"/>
                <w:szCs w:val="16"/>
                <w:lang w:val="en-US" w:eastAsia="zh-CN"/>
              </w:rPr>
              <w:t>1</w:t>
            </w:r>
          </w:p>
        </w:tc>
        <w:tc>
          <w:tcPr>
            <w:tcW w:w="9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决策部署</w:t>
            </w:r>
          </w:p>
        </w:tc>
        <w:tc>
          <w:tcPr>
            <w:tcW w:w="126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决策部署落实情况</w:t>
            </w:r>
          </w:p>
        </w:tc>
        <w:tc>
          <w:tcPr>
            <w:tcW w:w="198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决策部署落实情况等</w:t>
            </w:r>
          </w:p>
        </w:tc>
        <w:tc>
          <w:tcPr>
            <w:tcW w:w="1800" w:type="dxa"/>
            <w:vMerge w:val="restart"/>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《关于全面推进政务公开工作的意见》及其实施细则</w:t>
            </w:r>
          </w:p>
        </w:tc>
        <w:tc>
          <w:tcPr>
            <w:tcW w:w="1402"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市、县各级住建部门</w:t>
            </w:r>
          </w:p>
        </w:tc>
        <w:tc>
          <w:tcPr>
            <w:tcW w:w="2018"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办事大厅、公示栏、便民服务窗口等场所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default" w:ascii="Times New Roman" w:hAnsi="Times New Roman" w:eastAsia="宋体"/>
                <w:color w:val="auto"/>
                <w:kern w:val="0"/>
                <w:sz w:val="16"/>
                <w:szCs w:val="16"/>
                <w:lang w:val="en-US" w:eastAsia="zh-CN"/>
              </w:rPr>
            </w:pPr>
            <w:r>
              <w:rPr>
                <w:rFonts w:hint="eastAsia" w:ascii="Times New Roman" w:hAnsi="Times New Roman"/>
                <w:color w:val="auto"/>
                <w:kern w:val="0"/>
                <w:sz w:val="16"/>
                <w:szCs w:val="16"/>
                <w:lang w:val="en-US" w:eastAsia="zh-CN"/>
              </w:rPr>
              <w:t>12</w:t>
            </w:r>
          </w:p>
        </w:tc>
        <w:tc>
          <w:tcPr>
            <w:tcW w:w="9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年度任务实施</w:t>
            </w:r>
          </w:p>
        </w:tc>
        <w:tc>
          <w:tcPr>
            <w:tcW w:w="126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年度任务执行情况</w:t>
            </w:r>
          </w:p>
        </w:tc>
        <w:tc>
          <w:tcPr>
            <w:tcW w:w="198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年度工作完成情况等</w:t>
            </w:r>
          </w:p>
        </w:tc>
        <w:tc>
          <w:tcPr>
            <w:tcW w:w="1800" w:type="dxa"/>
            <w:vMerge w:val="continue"/>
            <w:noWrap w:val="0"/>
            <w:vAlign w:val="center"/>
          </w:tcPr>
          <w:p>
            <w:pPr>
              <w:rPr>
                <w:rFonts w:hint="eastAsia" w:ascii="仿宋_GB2312" w:hAnsi="宋体" w:eastAsia="仿宋_GB2312"/>
                <w:color w:val="auto"/>
                <w:sz w:val="18"/>
                <w:szCs w:val="18"/>
              </w:rPr>
            </w:pPr>
          </w:p>
        </w:tc>
        <w:tc>
          <w:tcPr>
            <w:tcW w:w="1402"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市、县各级住建部门</w:t>
            </w:r>
          </w:p>
        </w:tc>
        <w:tc>
          <w:tcPr>
            <w:tcW w:w="2018"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办事大厅、公示栏、便民服务窗口等场所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eastAsia="宋体"/>
                <w:color w:val="auto"/>
                <w:kern w:val="0"/>
                <w:sz w:val="16"/>
                <w:szCs w:val="16"/>
                <w:lang w:eastAsia="zh-CN"/>
              </w:rPr>
            </w:pPr>
            <w:r>
              <w:rPr>
                <w:rFonts w:hint="eastAsia" w:ascii="Times New Roman" w:hAnsi="Times New Roman"/>
                <w:color w:val="auto"/>
                <w:kern w:val="0"/>
                <w:sz w:val="16"/>
                <w:szCs w:val="16"/>
              </w:rPr>
              <w:t>1</w:t>
            </w:r>
            <w:r>
              <w:rPr>
                <w:rFonts w:hint="eastAsia" w:ascii="Times New Roman" w:hAnsi="Times New Roman"/>
                <w:color w:val="auto"/>
                <w:kern w:val="0"/>
                <w:sz w:val="16"/>
                <w:szCs w:val="16"/>
                <w:lang w:val="en-US" w:eastAsia="zh-CN"/>
              </w:rPr>
              <w:t>3</w:t>
            </w:r>
          </w:p>
        </w:tc>
        <w:tc>
          <w:tcPr>
            <w:tcW w:w="90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舆情收集、热点及关键问题回应</w:t>
            </w:r>
          </w:p>
        </w:tc>
        <w:tc>
          <w:tcPr>
            <w:tcW w:w="126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舆情收集回应</w:t>
            </w:r>
          </w:p>
        </w:tc>
        <w:tc>
          <w:tcPr>
            <w:tcW w:w="198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接受投诉、咨询、建议等联系电话、通信地址等</w:t>
            </w:r>
          </w:p>
        </w:tc>
        <w:tc>
          <w:tcPr>
            <w:tcW w:w="180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《政府信息公开条例》、《关于全面推进政务公开工作的意见》及其实施细则</w:t>
            </w:r>
          </w:p>
        </w:tc>
        <w:tc>
          <w:tcPr>
            <w:tcW w:w="1402" w:type="dxa"/>
            <w:noWrap w:val="0"/>
            <w:vAlign w:val="center"/>
          </w:tcPr>
          <w:p>
            <w:pPr>
              <w:ind w:right="-304" w:rightChars="-145"/>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w:t>
            </w:r>
          </w:p>
          <w:p>
            <w:pPr>
              <w:ind w:right="-304" w:rightChars="-145"/>
              <w:rPr>
                <w:rFonts w:hint="eastAsia" w:ascii="仿宋_GB2312" w:hAnsi="宋体" w:eastAsia="仿宋_GB2312"/>
                <w:color w:val="auto"/>
                <w:sz w:val="18"/>
                <w:szCs w:val="18"/>
              </w:rPr>
            </w:pPr>
            <w:r>
              <w:rPr>
                <w:rFonts w:hint="eastAsia" w:ascii="仿宋_GB2312" w:hAnsi="宋体" w:eastAsia="仿宋_GB2312"/>
                <w:color w:val="auto"/>
                <w:sz w:val="18"/>
                <w:szCs w:val="18"/>
              </w:rPr>
              <w:t>起20个工作日</w:t>
            </w:r>
          </w:p>
          <w:p>
            <w:pPr>
              <w:ind w:right="-304" w:rightChars="-145"/>
              <w:rPr>
                <w:rFonts w:hint="eastAsia" w:ascii="仿宋_GB2312" w:hAnsi="宋体" w:eastAsia="仿宋_GB2312"/>
                <w:color w:val="auto"/>
                <w:sz w:val="18"/>
                <w:szCs w:val="18"/>
              </w:rPr>
            </w:pPr>
            <w:r>
              <w:rPr>
                <w:rFonts w:hint="eastAsia" w:ascii="仿宋_GB2312" w:hAnsi="宋体" w:eastAsia="仿宋_GB2312"/>
                <w:color w:val="auto"/>
                <w:sz w:val="18"/>
                <w:szCs w:val="18"/>
              </w:rPr>
              <w:t>内</w:t>
            </w:r>
          </w:p>
        </w:tc>
        <w:tc>
          <w:tcPr>
            <w:tcW w:w="1440"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省、市、县级住房和城乡建设等相关职能部门</w:t>
            </w:r>
          </w:p>
        </w:tc>
        <w:tc>
          <w:tcPr>
            <w:tcW w:w="2018" w:type="dxa"/>
            <w:noWrap w:val="0"/>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政府门户网站、政务新媒体、广播、电视、报纸、公示栏等平台和办事大厅、便民服务窗口等场所</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noWrap w:val="0"/>
            <w:vAlign w:val="center"/>
          </w:tcPr>
          <w:p>
            <w:pPr>
              <w:jc w:val="center"/>
              <w:rPr>
                <w:rFonts w:hint="eastAsia" w:ascii="仿宋_GB2312" w:hAnsi="宋体" w:eastAsia="仿宋_GB2312"/>
                <w:color w:val="auto"/>
                <w:sz w:val="18"/>
                <w:szCs w:val="18"/>
              </w:rPr>
            </w:pPr>
          </w:p>
        </w:tc>
        <w:tc>
          <w:tcPr>
            <w:tcW w:w="551"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noWrap w:val="0"/>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41FFE"/>
    <w:rsid w:val="14841FFE"/>
    <w:rsid w:val="6806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2020-11-25T07:38:00Z</dcterms:created>
  <dc:creator>Administrator</dc:creator>
  <cp:lastModifiedBy>Administrator</cp:lastModifiedBy>
  <dcterms:modified xsi:type="dcterms:W3CDTF">2020-12-16T01:54:55Z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