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揭阳市揭东区（含产业园）征收地上</w:t>
      </w:r>
    </w:p>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附着物和青苗补偿标准</w:t>
      </w:r>
    </w:p>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（征求意见稿）</w:t>
      </w:r>
    </w:p>
    <w:p>
      <w:pPr>
        <w:spacing w:line="560" w:lineRule="exact"/>
        <w:rPr>
          <w:rFonts w:ascii="Times New Roman" w:hAnsi="Times New Roman" w:eastAsia="仿宋_GB2312" w:cs="Times New Roman"/>
          <w:sz w:val="32"/>
          <w:szCs w:val="32"/>
        </w:rPr>
      </w:pPr>
    </w:p>
    <w:p>
      <w:pPr>
        <w:pStyle w:val="2"/>
        <w:numPr>
          <w:ilvl w:val="0"/>
          <w:numId w:val="1"/>
        </w:numPr>
        <w:ind w:left="0" w:firstLine="0"/>
        <w:jc w:val="center"/>
      </w:pPr>
      <w:r>
        <w:rPr>
          <w:rFonts w:hint="eastAsia"/>
        </w:rPr>
        <w:t xml:space="preserve"> </w:t>
      </w:r>
      <w:r>
        <w:t xml:space="preserve"> </w:t>
      </w:r>
      <w:r>
        <w:rPr>
          <w:rFonts w:hint="eastAsia"/>
        </w:rPr>
        <w:t>总则</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为进一步加强我区征地管理，规范征收地上附着物和青苗补偿工作，维护被征地农民和农村集体经济组织的合法权益，</w:t>
      </w:r>
      <w:r>
        <w:rPr>
          <w:rFonts w:ascii="Times New Roman" w:hAnsi="Times New Roman" w:eastAsia="仿宋_GB2312" w:cs="Times New Roman"/>
          <w:sz w:val="32"/>
          <w:szCs w:val="32"/>
        </w:rPr>
        <w:t>保障我区征地补偿安置工作有序进行，</w:t>
      </w:r>
      <w:r>
        <w:rPr>
          <w:rFonts w:hint="eastAsia" w:ascii="Times New Roman" w:hAnsi="Times New Roman" w:eastAsia="仿宋_GB2312" w:cs="Times New Roman"/>
          <w:sz w:val="32"/>
          <w:szCs w:val="32"/>
        </w:rPr>
        <w:t>根据《中华人民共和国土地管理法》《广东省土地管理条例》《广东省自然资源厅关于加快制定征收地上附着物和青苗补偿标准的通知》（粤自然资管制〔2022〕2889号）和《揭阳市自然资源局转发广东省自然资源厅关于加快制定征收地上附着物和青苗补偿标准的通知》（揭市自然资通〔2022〕253号）等有关规定，结合我区实际情况，制定本标准。</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除国家、省、市另有规定外，揭东</w:t>
      </w:r>
      <w:r>
        <w:rPr>
          <w:rFonts w:ascii="Times New Roman" w:hAnsi="Times New Roman" w:eastAsia="仿宋_GB2312" w:cs="Times New Roman"/>
          <w:sz w:val="32"/>
          <w:szCs w:val="32"/>
        </w:rPr>
        <w:t>区辖区内依法征收</w:t>
      </w:r>
      <w:r>
        <w:rPr>
          <w:rFonts w:hint="eastAsia" w:ascii="Times New Roman" w:hAnsi="Times New Roman" w:eastAsia="仿宋_GB2312" w:cs="Times New Roman"/>
          <w:sz w:val="32"/>
          <w:szCs w:val="32"/>
        </w:rPr>
        <w:t>地上附着物和青苗的补偿适用本标准。</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揭阳市自</w:t>
      </w:r>
      <w:r>
        <w:rPr>
          <w:rFonts w:hint="eastAsia" w:ascii="仿宋_GB2312" w:eastAsia="仿宋_GB2312"/>
          <w:sz w:val="32"/>
          <w:szCs w:val="32"/>
        </w:rPr>
        <w:t>然资源局揭东分局代表区人民政府对征收地上附着物和青苗补偿工作进行统筹管理；揭阳市揭东区土地资源储备开发中心</w:t>
      </w:r>
      <w:r>
        <w:rPr>
          <w:rFonts w:ascii="仿宋_GB2312" w:eastAsia="仿宋_GB2312"/>
          <w:sz w:val="32"/>
          <w:szCs w:val="32"/>
        </w:rPr>
        <w:t>负责征</w:t>
      </w:r>
      <w:r>
        <w:rPr>
          <w:rFonts w:hint="eastAsia" w:ascii="仿宋_GB2312" w:eastAsia="仿宋_GB2312"/>
          <w:sz w:val="32"/>
          <w:szCs w:val="32"/>
        </w:rPr>
        <w:t>收</w:t>
      </w:r>
      <w:r>
        <w:rPr>
          <w:rFonts w:ascii="仿宋_GB2312" w:eastAsia="仿宋_GB2312"/>
          <w:sz w:val="32"/>
          <w:szCs w:val="32"/>
        </w:rPr>
        <w:t>补偿的组织、指导和监督</w:t>
      </w:r>
      <w:r>
        <w:rPr>
          <w:rFonts w:hint="eastAsia" w:ascii="仿宋_GB2312" w:eastAsia="仿宋_GB2312"/>
          <w:sz w:val="32"/>
          <w:szCs w:val="32"/>
        </w:rPr>
        <w:t>；</w:t>
      </w:r>
      <w:r>
        <w:rPr>
          <w:rFonts w:ascii="仿宋_GB2312" w:eastAsia="仿宋_GB2312"/>
          <w:sz w:val="32"/>
          <w:szCs w:val="32"/>
        </w:rPr>
        <w:t>属地镇政府</w:t>
      </w:r>
      <w:r>
        <w:rPr>
          <w:rFonts w:hint="eastAsia" w:ascii="仿宋_GB2312" w:eastAsia="仿宋_GB2312"/>
          <w:sz w:val="32"/>
          <w:szCs w:val="32"/>
        </w:rPr>
        <w:t>（</w:t>
      </w:r>
      <w:r>
        <w:rPr>
          <w:rFonts w:ascii="仿宋_GB2312" w:eastAsia="仿宋_GB2312"/>
          <w:sz w:val="32"/>
          <w:szCs w:val="32"/>
        </w:rPr>
        <w:t>街道办</w:t>
      </w:r>
      <w:r>
        <w:rPr>
          <w:rFonts w:ascii="Times New Roman" w:hAnsi="Times New Roman" w:eastAsia="仿宋_GB2312" w:cs="Times New Roman"/>
          <w:sz w:val="32"/>
          <w:szCs w:val="32"/>
        </w:rPr>
        <w:t>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具体负责</w:t>
      </w:r>
      <w:r>
        <w:rPr>
          <w:rFonts w:hint="eastAsia" w:ascii="Times New Roman" w:hAnsi="Times New Roman" w:eastAsia="仿宋_GB2312" w:cs="Times New Roman"/>
          <w:sz w:val="32"/>
          <w:szCs w:val="32"/>
        </w:rPr>
        <w:t>征收</w:t>
      </w:r>
      <w:r>
        <w:rPr>
          <w:rFonts w:ascii="Times New Roman" w:hAnsi="Times New Roman" w:eastAsia="仿宋_GB2312" w:cs="Times New Roman"/>
          <w:sz w:val="32"/>
          <w:szCs w:val="32"/>
        </w:rPr>
        <w:t>补偿工作的实施。区各有关部门各负其责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通力配合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切实做好</w:t>
      </w:r>
      <w:r>
        <w:rPr>
          <w:rFonts w:hint="eastAsia" w:ascii="Times New Roman" w:hAnsi="Times New Roman" w:eastAsia="仿宋_GB2312" w:cs="Times New Roman"/>
          <w:sz w:val="32"/>
          <w:szCs w:val="32"/>
        </w:rPr>
        <w:t>征收地上附着物和青苗</w:t>
      </w:r>
      <w:r>
        <w:rPr>
          <w:rFonts w:ascii="Times New Roman" w:hAnsi="Times New Roman" w:eastAsia="仿宋_GB2312" w:cs="Times New Roman"/>
          <w:sz w:val="32"/>
          <w:szCs w:val="32"/>
        </w:rPr>
        <w:t>的补偿、安置和社会保障工作。</w:t>
      </w:r>
    </w:p>
    <w:p>
      <w:pPr>
        <w:pStyle w:val="14"/>
        <w:numPr>
          <w:ilvl w:val="0"/>
          <w:numId w:val="2"/>
        </w:numPr>
        <w:spacing w:line="560" w:lineRule="exact"/>
        <w:ind w:left="0" w:firstLine="640"/>
        <w:rPr>
          <w:rFonts w:ascii="仿宋_GB2312" w:eastAsia="仿宋_GB2312"/>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ascii="仿宋_GB2312" w:eastAsia="仿宋_GB2312"/>
          <w:sz w:val="32"/>
          <w:szCs w:val="32"/>
        </w:rPr>
        <w:t>在发布</w:t>
      </w:r>
      <w:r>
        <w:rPr>
          <w:rFonts w:hint="eastAsia" w:ascii="仿宋_GB2312" w:eastAsia="仿宋_GB2312"/>
          <w:sz w:val="32"/>
          <w:szCs w:val="32"/>
        </w:rPr>
        <w:t>征收</w:t>
      </w:r>
      <w:r>
        <w:rPr>
          <w:rFonts w:ascii="仿宋_GB2312" w:eastAsia="仿宋_GB2312"/>
          <w:sz w:val="32"/>
          <w:szCs w:val="32"/>
        </w:rPr>
        <w:t>公告</w:t>
      </w:r>
      <w:r>
        <w:rPr>
          <w:rFonts w:hint="eastAsia" w:ascii="仿宋_GB2312" w:eastAsia="仿宋_GB2312"/>
          <w:sz w:val="32"/>
          <w:szCs w:val="32"/>
        </w:rPr>
        <w:t>（</w:t>
      </w:r>
      <w:r>
        <w:rPr>
          <w:rFonts w:ascii="仿宋_GB2312" w:eastAsia="仿宋_GB2312"/>
          <w:sz w:val="32"/>
          <w:szCs w:val="32"/>
        </w:rPr>
        <w:t>预公告</w:t>
      </w:r>
      <w:r>
        <w:rPr>
          <w:rFonts w:hint="eastAsia" w:ascii="仿宋_GB2312" w:eastAsia="仿宋_GB2312"/>
          <w:sz w:val="32"/>
          <w:szCs w:val="32"/>
        </w:rPr>
        <w:t>）</w:t>
      </w:r>
      <w:r>
        <w:rPr>
          <w:rFonts w:ascii="仿宋_GB2312" w:eastAsia="仿宋_GB2312"/>
          <w:sz w:val="32"/>
          <w:szCs w:val="32"/>
        </w:rPr>
        <w:t>之日起</w:t>
      </w:r>
      <w:r>
        <w:rPr>
          <w:rFonts w:hint="eastAsia" w:ascii="仿宋_GB2312" w:eastAsia="仿宋_GB2312"/>
          <w:sz w:val="32"/>
          <w:szCs w:val="32"/>
        </w:rPr>
        <w:t>，在征收范围内</w:t>
      </w:r>
      <w:r>
        <w:rPr>
          <w:rFonts w:hint="eastAsia" w:ascii="Times New Roman" w:hAnsi="Times New Roman" w:eastAsia="仿宋_GB2312" w:cs="Times New Roman"/>
          <w:sz w:val="32"/>
          <w:szCs w:val="32"/>
        </w:rPr>
        <w:t>抢种、抢栽的青苗，抢养的养殖物和抢建的建（构）筑物一律不列入补偿范围。</w:t>
      </w:r>
    </w:p>
    <w:p>
      <w:pPr>
        <w:pStyle w:val="14"/>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涉及</w:t>
      </w:r>
      <w:r>
        <w:rPr>
          <w:rFonts w:ascii="仿宋_GB2312" w:eastAsia="仿宋_GB2312"/>
          <w:sz w:val="32"/>
          <w:szCs w:val="32"/>
        </w:rPr>
        <w:t>采取反复移植方式申报的青苗数目</w:t>
      </w:r>
      <w:r>
        <w:rPr>
          <w:rFonts w:hint="eastAsia" w:ascii="仿宋_GB2312" w:eastAsia="仿宋_GB2312"/>
          <w:sz w:val="32"/>
          <w:szCs w:val="32"/>
        </w:rPr>
        <w:t>、</w:t>
      </w:r>
      <w:r>
        <w:rPr>
          <w:rFonts w:ascii="仿宋_GB2312" w:eastAsia="仿宋_GB2312"/>
          <w:sz w:val="32"/>
          <w:szCs w:val="32"/>
        </w:rPr>
        <w:t>已死亡的各类种植物</w:t>
      </w:r>
      <w:r>
        <w:rPr>
          <w:rFonts w:hint="eastAsia" w:ascii="仿宋_GB2312" w:eastAsia="仿宋_GB2312"/>
          <w:sz w:val="32"/>
          <w:szCs w:val="32"/>
        </w:rPr>
        <w:t>、</w:t>
      </w:r>
      <w:r>
        <w:rPr>
          <w:rFonts w:ascii="仿宋_GB2312" w:eastAsia="仿宋_GB2312"/>
          <w:sz w:val="32"/>
          <w:szCs w:val="32"/>
        </w:rPr>
        <w:t>登记的青苗核实时已减少的部分</w:t>
      </w:r>
      <w:r>
        <w:rPr>
          <w:rFonts w:hint="eastAsia" w:ascii="仿宋_GB2312" w:eastAsia="仿宋_GB2312"/>
          <w:sz w:val="32"/>
          <w:szCs w:val="32"/>
        </w:rPr>
        <w:t>、</w:t>
      </w:r>
      <w:r>
        <w:rPr>
          <w:rFonts w:ascii="仿宋_GB2312" w:eastAsia="仿宋_GB2312"/>
          <w:sz w:val="32"/>
          <w:szCs w:val="32"/>
        </w:rPr>
        <w:t>种植物超过正常标准种植密度的部分</w:t>
      </w:r>
      <w:r>
        <w:rPr>
          <w:rFonts w:hint="eastAsia" w:ascii="仿宋_GB2312" w:eastAsia="仿宋_GB2312"/>
          <w:sz w:val="32"/>
          <w:szCs w:val="32"/>
        </w:rPr>
        <w:t>、</w:t>
      </w:r>
      <w:r>
        <w:rPr>
          <w:rFonts w:ascii="仿宋_GB2312" w:eastAsia="仿宋_GB2312"/>
          <w:sz w:val="32"/>
          <w:szCs w:val="32"/>
        </w:rPr>
        <w:t>有关法律法规和政策文件规定不予补偿</w:t>
      </w:r>
      <w:r>
        <w:rPr>
          <w:rFonts w:hint="eastAsia" w:ascii="仿宋_GB2312" w:eastAsia="仿宋_GB2312"/>
          <w:sz w:val="32"/>
          <w:szCs w:val="32"/>
        </w:rPr>
        <w:t>等情形的均不予补偿</w:t>
      </w:r>
      <w:r>
        <w:rPr>
          <w:rFonts w:ascii="仿宋_GB2312" w:eastAsia="仿宋_GB2312"/>
          <w:sz w:val="32"/>
          <w:szCs w:val="32"/>
        </w:rPr>
        <w:t>。</w:t>
      </w:r>
    </w:p>
    <w:p>
      <w:pPr>
        <w:spacing w:line="560" w:lineRule="exact"/>
        <w:rPr>
          <w:rFonts w:ascii="Times New Roman" w:hAnsi="Times New Roman" w:eastAsia="仿宋_GB2312" w:cs="Times New Roman"/>
          <w:color w:val="FF0000"/>
          <w:sz w:val="32"/>
          <w:szCs w:val="32"/>
        </w:rPr>
      </w:pPr>
    </w:p>
    <w:p>
      <w:pPr>
        <w:pStyle w:val="2"/>
        <w:numPr>
          <w:ilvl w:val="0"/>
          <w:numId w:val="1"/>
        </w:numPr>
        <w:ind w:left="0" w:firstLine="0"/>
        <w:jc w:val="center"/>
      </w:pPr>
      <w:r>
        <w:rPr>
          <w:rFonts w:hint="eastAsia"/>
        </w:rPr>
        <w:t xml:space="preserve"> </w:t>
      </w:r>
      <w:r>
        <w:t xml:space="preserve"> </w:t>
      </w:r>
      <w:r>
        <w:rPr>
          <w:rFonts w:hint="eastAsia"/>
        </w:rPr>
        <w:t>青苗和养殖类补偿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青苗和养殖类均采用实地清点计价方式补偿，</w:t>
      </w:r>
      <w:r>
        <w:rPr>
          <w:rFonts w:ascii="Times New Roman" w:hAnsi="Times New Roman" w:eastAsia="仿宋_GB2312" w:cs="Times New Roman"/>
          <w:sz w:val="32"/>
          <w:szCs w:val="32"/>
        </w:rPr>
        <w:t>青苗</w:t>
      </w:r>
      <w:r>
        <w:rPr>
          <w:rFonts w:hint="eastAsia" w:ascii="Times New Roman" w:hAnsi="Times New Roman" w:eastAsia="仿宋_GB2312" w:cs="Times New Roman"/>
          <w:sz w:val="32"/>
          <w:szCs w:val="32"/>
        </w:rPr>
        <w:t>和养殖物</w:t>
      </w:r>
      <w:r>
        <w:rPr>
          <w:rFonts w:ascii="Times New Roman" w:hAnsi="Times New Roman" w:eastAsia="仿宋_GB2312" w:cs="Times New Roman"/>
          <w:sz w:val="32"/>
          <w:szCs w:val="32"/>
        </w:rPr>
        <w:t>在镇（街）规定期限内由其所有权人自行处理，逾期未处理的可由镇（街）统一处理。</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涉及青苗成片种植并间种多个品种、水产成片养殖并多品种混养的，只能以种植或养殖最多的一种作为补偿品种，</w:t>
      </w:r>
      <w:r>
        <w:rPr>
          <w:rFonts w:ascii="Times New Roman" w:hAnsi="Times New Roman" w:eastAsia="仿宋_GB2312" w:cs="Times New Roman"/>
          <w:sz w:val="32"/>
          <w:szCs w:val="32"/>
        </w:rPr>
        <w:t>不以品种分类作重复计补。</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青苗和养殖类补偿面积均应扣除用于成片种植、成片养殖管理而搭建的建筑物和附着物的面积。</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征收中涉及青苗和养殖类残值处理的，由项目征收实施主体结合项目情况，在征收补偿方案中具体明确。</w:t>
      </w:r>
    </w:p>
    <w:p>
      <w:pPr>
        <w:pStyle w:val="14"/>
        <w:numPr>
          <w:ilvl w:val="0"/>
          <w:numId w:val="2"/>
        </w:numPr>
        <w:spacing w:line="560" w:lineRule="exact"/>
        <w:ind w:left="0" w:firstLine="640"/>
        <w:rPr>
          <w:rFonts w:ascii="仿宋_GB2312" w:eastAsia="仿宋_GB2312"/>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经有关部门认定</w:t>
      </w:r>
      <w:r>
        <w:rPr>
          <w:rFonts w:ascii="Times New Roman" w:hAnsi="Times New Roman" w:eastAsia="仿宋_GB2312" w:cs="Times New Roman"/>
          <w:sz w:val="32"/>
          <w:szCs w:val="32"/>
        </w:rPr>
        <w:t>确需砍伐、迁移城市树木的，依照《广东省城市绿化条例》的规定执行。</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古树名木、名贵药材、苗圃等市场价值波动较大，补偿标准不能完全覆盖的，具体补偿实施时可委托第三方专业机构进行评估，评估结果经确认后予以补偿。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水产养殖类按搬迁价格实施补偿，特殊养殖及市场价值波动较大，补偿标准不能完全覆盖的，具体补偿实施时可委托第三方专业机构进行评估，评估结果经确认后予以补偿。</w:t>
      </w:r>
    </w:p>
    <w:p>
      <w:pPr>
        <w:spacing w:line="560" w:lineRule="exact"/>
        <w:rPr>
          <w:rFonts w:ascii="Times New Roman" w:hAnsi="Times New Roman" w:eastAsia="仿宋_GB2312" w:cs="Times New Roman"/>
          <w:color w:val="FF0000"/>
          <w:sz w:val="32"/>
          <w:szCs w:val="32"/>
        </w:rPr>
      </w:pPr>
    </w:p>
    <w:p>
      <w:pPr>
        <w:pStyle w:val="2"/>
        <w:numPr>
          <w:ilvl w:val="0"/>
          <w:numId w:val="1"/>
        </w:numPr>
        <w:ind w:left="0" w:firstLine="0"/>
        <w:jc w:val="center"/>
      </w:pPr>
      <w:r>
        <w:rPr>
          <w:rFonts w:hint="eastAsia"/>
        </w:rPr>
        <w:t xml:space="preserve"> </w:t>
      </w:r>
      <w:r>
        <w:t xml:space="preserve"> </w:t>
      </w:r>
      <w:r>
        <w:rPr>
          <w:rFonts w:hint="eastAsia"/>
        </w:rPr>
        <w:t>地上附着物补偿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揭东</w:t>
      </w:r>
      <w:r>
        <w:rPr>
          <w:rFonts w:ascii="Times New Roman" w:hAnsi="Times New Roman" w:eastAsia="仿宋_GB2312" w:cs="Times New Roman"/>
          <w:sz w:val="32"/>
          <w:szCs w:val="32"/>
        </w:rPr>
        <w:t>区辖区内交通基础设施、土地征收整合储备、城市更新等项目地上建（构）筑物的房屋征收补偿适应本标准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只实行货币补偿方式的、实行货币补偿或产权调换两种选择方式且被征收人选择货币补偿方式的项目房屋征收补偿适应本标准。</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住宅房屋建（构）筑物补偿标准（按建筑面积计，不含地价）</w:t>
      </w:r>
      <w:r>
        <w:rPr>
          <w:rFonts w:hint="eastAsia" w:ascii="Times New Roman" w:hAnsi="Times New Roman" w:eastAsia="仿宋_GB2312" w:cs="Times New Roman"/>
          <w:sz w:val="32"/>
          <w:szCs w:val="32"/>
        </w:rPr>
        <w:t>。</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非住宅（指厂房、仓库、工棚、办公室、娱乐场所等）的建（构）筑物补偿标准（按建筑面积计）。</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被征收房屋的室内装修和附属物经有资质的评估机构评估后给予适当货币补偿。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本标准未列的建（构）筑物或未建成的建（构）筑物参照揭东区同类征收补偿标准给予适当的货币补偿。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房屋夹层中的木楼、技术层、插层，其层高在</w:t>
      </w:r>
      <w:r>
        <w:rPr>
          <w:rFonts w:ascii="Times New Roman" w:hAnsi="Times New Roman" w:eastAsia="仿宋_GB2312" w:cs="Times New Roman"/>
          <w:sz w:val="32"/>
          <w:szCs w:val="32"/>
        </w:rPr>
        <w:t>2.2米以上的，计全面积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2.2米以下的，按1/2计建筑面积。对于形成建筑空间的坡屋顶，层高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指从地面至坡屋顶最低点的垂直距离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在2.1米以上的，计全面积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1.2米至2.1米的，按1/2计建筑面积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1.2米以下的，不计建筑面积，但可给予适当货币补偿。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在政府发布房屋征收决定公告（</w:t>
      </w:r>
      <w:r>
        <w:rPr>
          <w:rFonts w:ascii="Times New Roman" w:hAnsi="Times New Roman" w:eastAsia="仿宋_GB2312" w:cs="Times New Roman"/>
          <w:sz w:val="32"/>
          <w:szCs w:val="32"/>
        </w:rPr>
        <w:t>工程建设有关事项的通告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沿路的住宅房屋持有合法有效证件且在实际经营的，按经营面积20平方米以下每户8000元、20-40平方米每户12000元、40平方米以上每户15000元给予一次性补助。</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搬迁补助费，按房屋征收建筑面积计，给予</w:t>
      </w:r>
      <w:r>
        <w:rPr>
          <w:rFonts w:ascii="Times New Roman" w:hAnsi="Times New Roman" w:eastAsia="仿宋_GB2312" w:cs="Times New Roman"/>
          <w:sz w:val="32"/>
          <w:szCs w:val="32"/>
        </w:rPr>
        <w:t>20元/m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补助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涉及大型机械按35元/m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补助。水电补助费，按房屋征收建筑面积计，给予30元/m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补助。</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涉及交通基础设施征收位于集体土地上房屋且没有征地的，按征收房屋占地面积（</w:t>
      </w:r>
      <w:r>
        <w:rPr>
          <w:rFonts w:ascii="Times New Roman" w:hAnsi="Times New Roman" w:eastAsia="仿宋_GB2312" w:cs="Times New Roman"/>
          <w:sz w:val="32"/>
          <w:szCs w:val="32"/>
        </w:rPr>
        <w:t>含未建宅基地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给予房屋被征收人250元/m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的一次性补助，住宅如有置换宅基地的，该补助款由属地经联社所得。位于国有土地性质上住宅的，按有关规定执行。</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住宅临时租住补助、非住宅停产停业补助按实际丈量建筑面积给予</w:t>
      </w:r>
      <w:r>
        <w:rPr>
          <w:rFonts w:ascii="Times New Roman" w:hAnsi="Times New Roman" w:eastAsia="仿宋_GB2312" w:cs="Times New Roman"/>
          <w:sz w:val="32"/>
          <w:szCs w:val="32"/>
        </w:rPr>
        <w:t>50元/m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的一次性补助。</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未超过批准期限的临时建筑物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按残值给予货币补偿。</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被征收人在规定时间内签订征收补偿协议且搬迁完毕的，由征收人按建筑物征收补偿评估价的</w:t>
      </w:r>
      <w:r>
        <w:rPr>
          <w:rFonts w:ascii="Times New Roman" w:hAnsi="Times New Roman" w:eastAsia="仿宋_GB2312" w:cs="Times New Roman"/>
          <w:sz w:val="32"/>
          <w:szCs w:val="32"/>
        </w:rPr>
        <w:t>3%给予奖励，最高不超过3000元。</w:t>
      </w:r>
    </w:p>
    <w:p>
      <w:pPr>
        <w:spacing w:line="560" w:lineRule="exact"/>
        <w:rPr>
          <w:rFonts w:ascii="Times New Roman" w:hAnsi="Times New Roman" w:eastAsia="仿宋_GB2312" w:cs="Times New Roman"/>
          <w:sz w:val="32"/>
          <w:szCs w:val="32"/>
        </w:rPr>
      </w:pPr>
    </w:p>
    <w:p>
      <w:pPr>
        <w:pStyle w:val="2"/>
        <w:numPr>
          <w:ilvl w:val="0"/>
          <w:numId w:val="1"/>
        </w:numPr>
        <w:ind w:left="0" w:firstLine="0"/>
        <w:jc w:val="center"/>
      </w:pPr>
      <w:r>
        <w:rPr>
          <w:rFonts w:hint="eastAsia"/>
        </w:rPr>
        <w:t xml:space="preserve"> </w:t>
      </w:r>
      <w:r>
        <w:t xml:space="preserve"> </w:t>
      </w:r>
      <w:r>
        <w:rPr>
          <w:rFonts w:hint="eastAsia"/>
        </w:rPr>
        <w:t>附则</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本标准印发前已经实施并兑现征收地上附着物和青苗补偿或已签订补偿协议的项目，不适用本标准，仍按原标准执行。</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本标准实施期间，</w:t>
      </w:r>
      <w:r>
        <w:rPr>
          <w:rFonts w:ascii="Times New Roman" w:hAnsi="Times New Roman" w:eastAsia="仿宋_GB2312" w:cs="Times New Roman"/>
          <w:sz w:val="32"/>
          <w:szCs w:val="32"/>
        </w:rPr>
        <w:t>如因重点项目的重要性、必要性及特殊性需另行制定补偿安置标准的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由属地镇（街）制订后按程序报区政府批准实施。</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本标准所称的“以上”均含本数，“以下”均不含本数。货币指人民币。</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本标准未列明的项目，可采取协商定价或委托有资质的评估机构评估确定，评估结果经确认后予以补偿。其他未尽事宜按相关法律法规政策及规定执行。</w:t>
      </w:r>
    </w:p>
    <w:p>
      <w:pPr>
        <w:pStyle w:val="14"/>
        <w:numPr>
          <w:ilvl w:val="0"/>
          <w:numId w:val="2"/>
        </w:numPr>
        <w:spacing w:line="56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本标准自印发之日起实施</w:t>
      </w:r>
      <w:r>
        <w:rPr>
          <w:rFonts w:ascii="Times New Roman" w:hAnsi="Times New Roman" w:eastAsia="仿宋_GB2312" w:cs="Times New Roman"/>
          <w:sz w:val="32"/>
          <w:szCs w:val="32"/>
        </w:rPr>
        <w:t>。</w:t>
      </w:r>
    </w:p>
    <w:p>
      <w:pPr>
        <w:spacing w:line="560" w:lineRule="exact"/>
        <w:rPr>
          <w:rFonts w:ascii="Times New Roman" w:hAnsi="Times New Roman" w:eastAsia="仿宋_GB2312" w:cs="Times New Roman"/>
          <w:color w:val="FF0000"/>
          <w:sz w:val="32"/>
          <w:szCs w:val="32"/>
        </w:rPr>
      </w:pPr>
    </w:p>
    <w:p>
      <w:pPr>
        <w:pStyle w:val="14"/>
        <w:spacing w:line="560" w:lineRule="exact"/>
        <w:ind w:left="640"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青苗补偿标准表</w:t>
      </w:r>
      <w:r>
        <w:rPr>
          <w:rFonts w:hint="eastAsia" w:ascii="Times New Roman" w:hAnsi="Times New Roman" w:eastAsia="仿宋_GB2312" w:cs="Times New Roman"/>
          <w:sz w:val="32"/>
          <w:szCs w:val="32"/>
        </w:rPr>
        <w:t>；</w:t>
      </w:r>
    </w:p>
    <w:p>
      <w:pPr>
        <w:pStyle w:val="14"/>
        <w:spacing w:line="560" w:lineRule="exact"/>
        <w:ind w:left="64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养殖类补偿标准表</w:t>
      </w:r>
      <w:r>
        <w:rPr>
          <w:rFonts w:hint="eastAsia" w:ascii="Times New Roman" w:hAnsi="Times New Roman" w:eastAsia="仿宋_GB2312" w:cs="Times New Roman"/>
          <w:sz w:val="32"/>
          <w:szCs w:val="32"/>
        </w:rPr>
        <w:t>；</w:t>
      </w:r>
    </w:p>
    <w:p>
      <w:pPr>
        <w:pStyle w:val="14"/>
        <w:spacing w:line="560" w:lineRule="exact"/>
        <w:ind w:left="64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建筑物重置价标准表</w:t>
      </w:r>
      <w:r>
        <w:rPr>
          <w:rFonts w:hint="eastAsia" w:ascii="Times New Roman" w:hAnsi="Times New Roman" w:eastAsia="仿宋_GB2312" w:cs="Times New Roman"/>
          <w:sz w:val="32"/>
          <w:szCs w:val="32"/>
        </w:rPr>
        <w:t>；</w:t>
      </w:r>
    </w:p>
    <w:p>
      <w:pPr>
        <w:pStyle w:val="14"/>
        <w:spacing w:line="560" w:lineRule="exact"/>
        <w:ind w:left="64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地上构筑物及其他附属设施补偿标准表</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color w:val="FF0000"/>
          <w:sz w:val="32"/>
          <w:szCs w:val="32"/>
        </w:rPr>
      </w:pPr>
    </w:p>
    <w:p>
      <w:pPr>
        <w:spacing w:line="560" w:lineRule="exact"/>
        <w:ind w:firstLine="640" w:firstLineChars="200"/>
        <w:rPr>
          <w:rFonts w:ascii="Times New Roman" w:hAnsi="Times New Roman" w:eastAsia="仿宋_GB2312" w:cs="Times New Roman"/>
          <w:color w:val="FF0000"/>
          <w:sz w:val="32"/>
          <w:szCs w:val="32"/>
        </w:rPr>
        <w:sectPr>
          <w:footerReference r:id="rId3" w:type="default"/>
          <w:footerReference r:id="rId4" w:type="even"/>
          <w:pgSz w:w="11906" w:h="16838"/>
          <w:pgMar w:top="2098" w:right="1474" w:bottom="1985" w:left="1588" w:header="851" w:footer="1588" w:gutter="0"/>
          <w:pgNumType w:chapStyle="1"/>
          <w:cols w:space="425" w:num="1"/>
          <w:docGrid w:type="lines" w:linePitch="312" w:charSpace="0"/>
        </w:sectPr>
      </w:pPr>
    </w:p>
    <w:p>
      <w:pPr>
        <w:pStyle w:val="2"/>
        <w:jc w:val="left"/>
      </w:pPr>
      <w:r>
        <w:rPr>
          <w:rFonts w:hint="eastAsia"/>
        </w:rPr>
        <w:t>附表：</w:t>
      </w:r>
    </w:p>
    <w:p>
      <w:pPr>
        <w:pStyle w:val="3"/>
        <w:jc w:val="center"/>
      </w:pPr>
      <w:r>
        <w:t>表1：青苗补偿标准表</w:t>
      </w:r>
    </w:p>
    <w:tbl>
      <w:tblPr>
        <w:tblStyle w:val="9"/>
        <w:tblW w:w="9067" w:type="dxa"/>
        <w:jc w:val="center"/>
        <w:tblInd w:w="0" w:type="dxa"/>
        <w:tblLayout w:type="fixed"/>
        <w:tblCellMar>
          <w:top w:w="0" w:type="dxa"/>
          <w:left w:w="108" w:type="dxa"/>
          <w:bottom w:w="0" w:type="dxa"/>
          <w:right w:w="108" w:type="dxa"/>
        </w:tblCellMar>
      </w:tblPr>
      <w:tblGrid>
        <w:gridCol w:w="562"/>
        <w:gridCol w:w="996"/>
        <w:gridCol w:w="4536"/>
        <w:gridCol w:w="780"/>
        <w:gridCol w:w="1480"/>
        <w:gridCol w:w="713"/>
      </w:tblGrid>
      <w:tr>
        <w:tblPrEx>
          <w:tblLayout w:type="fixed"/>
          <w:tblCellMar>
            <w:top w:w="0" w:type="dxa"/>
            <w:left w:w="108" w:type="dxa"/>
            <w:bottom w:w="0" w:type="dxa"/>
            <w:right w:w="108" w:type="dxa"/>
          </w:tblCellMar>
        </w:tblPrEx>
        <w:trPr>
          <w:trHeight w:val="397" w:hRule="atLeast"/>
          <w:tblHeader/>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55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补偿项目</w:t>
            </w:r>
          </w:p>
        </w:tc>
        <w:tc>
          <w:tcPr>
            <w:tcW w:w="78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单位</w:t>
            </w:r>
          </w:p>
        </w:tc>
        <w:tc>
          <w:tcPr>
            <w:tcW w:w="148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补偿标准</w:t>
            </w:r>
          </w:p>
        </w:tc>
        <w:tc>
          <w:tcPr>
            <w:tcW w:w="7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备注</w:t>
            </w:r>
          </w:p>
        </w:tc>
      </w:tr>
      <w:tr>
        <w:tblPrEx>
          <w:tblLayout w:type="fixed"/>
          <w:tblCellMar>
            <w:top w:w="0" w:type="dxa"/>
            <w:left w:w="108" w:type="dxa"/>
            <w:bottom w:w="0" w:type="dxa"/>
            <w:right w:w="108" w:type="dxa"/>
          </w:tblCellMar>
        </w:tblPrEx>
        <w:trPr>
          <w:trHeight w:val="397" w:hRule="atLeast"/>
          <w:tblHeade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类别</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种类</w:t>
            </w:r>
          </w:p>
        </w:tc>
        <w:tc>
          <w:tcPr>
            <w:tcW w:w="7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p>
        </w:tc>
        <w:tc>
          <w:tcPr>
            <w:tcW w:w="14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p>
        </w:tc>
        <w:tc>
          <w:tcPr>
            <w:tcW w:w="713" w:type="dxa"/>
            <w:vMerge w:val="continue"/>
            <w:tcBorders>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bCs/>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9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粮食作物类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谷物类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（稻谷、小麦、玉米、其他谷物等）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根据生长周期和生长情况进行补偿</w:t>
            </w: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豆类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（大豆、绿豆、红小豆、其他杂豆等）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薯类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（番薯、马铃薯、其他等）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9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经济作物类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甘蔗</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（糖蔗、果蔗、其他等）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4000-8000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油料作物</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（花生、芝麻、冬油菜籽、其他油料等）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生麻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（花黄麻、红麻、苎麻等）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烟叶</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（红（土）烟、黄（烤）烟（未去梗烤烟叶）等）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木薯、药材、茶叶等其他农作物</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4000-8000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9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蔬菜类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叶菜类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（大白菜、芹菜、油菜、菠菜、卷心菜（结球甘蓝）等）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根茎类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（白萝卜、胡萝卜、生姜、南姜等）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瓜菜类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（黄瓜、南瓜、冬瓜等）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5000-6000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豆荚类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（豇豆、四季豆等）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5000-6000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茄果类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（茄子、辣椒、西红柿等）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5000-6000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葱蒜类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（大葱、蒜头等）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水生菜类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（钱葱、莲藕等）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4000-6000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菌类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（香菇、木耳、蘑菇等）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4000-5000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笋竹等其他蔬菜</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4000-9000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9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花卉类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苗圃</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（杂果苗圃、花木场、龙眼、荔枝苗圃等）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切花类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盆花类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地栽类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996"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果木类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木本植物</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（柑、橘、橙、荔枝、龙眼、梨、柿子、李子、番石榴、芒果、柚子、杨桃、黄皮、桃子、橄榄、青梅、乌榄等）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藤本植物</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（葡萄、百香果、西瓜、香瓜等）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8000-13000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草本植物</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（香蕉、菠萝、草莓、火龙果等）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4000-9000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99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林木类</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乔木类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(木荷、红锥、山杜英、马占相思、台湾相思、大叶相思、铁刀木、樟树、木麻黄、黄花风铃木、风景绿化树等)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元/株</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100-300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灌木类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（茶树、枫香、铁冬青、非洲茉莉、毛杜鹃、黄金叶等）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元/株</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100-300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草本类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（杂（竹）林等）</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2000-3000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9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速生林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元/亩</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2000-4000</w:t>
            </w: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2340" w:hRule="atLeast"/>
          <w:jc w:val="center"/>
        </w:trPr>
        <w:tc>
          <w:tcPr>
            <w:tcW w:w="90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 w:val="22"/>
              </w:rPr>
            </w:pPr>
            <w:r>
              <w:rPr>
                <w:rFonts w:ascii="Times New Roman" w:hAnsi="Times New Roman" w:eastAsia="仿宋_GB2312" w:cs="Times New Roman"/>
                <w:kern w:val="0"/>
                <w:sz w:val="22"/>
              </w:rPr>
              <w:t>注：1.补偿标准统一取整。</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补偿项目中，粮食作物类含谷类、薯类、豆类；经济作物类含油料作物、麻类作物、糖料作物、药用作物、烟叶、其他经济作物；蔬菜类含根茎类、叶菜类、花菜类、果菜类、真菌类；花卉类含切花切叶、地栽类、盆栽类；果木类含鲜果类、干果类；林木类含乔木类、灌木类、草本类。</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3.古树名木、名贵药材、苗圃等市场价值波动较大，补偿标准不能完全覆盖的，具体补偿实施时可委托第三方专业机构进行评估，评估结果经确认后予以补偿。</w:t>
            </w:r>
          </w:p>
        </w:tc>
      </w:tr>
    </w:tbl>
    <w:p>
      <w:pPr>
        <w:widowControl/>
        <w:jc w:val="left"/>
        <w:rPr>
          <w:rFonts w:ascii="Times New Roman" w:hAnsi="Times New Roman" w:eastAsia="仿宋_GB2312" w:cstheme="majorBidi"/>
          <w:b/>
          <w:bCs/>
          <w:sz w:val="32"/>
          <w:szCs w:val="32"/>
        </w:rPr>
      </w:pPr>
      <w:r>
        <w:br w:type="page"/>
      </w:r>
    </w:p>
    <w:p>
      <w:pPr>
        <w:pStyle w:val="3"/>
        <w:jc w:val="center"/>
      </w:pPr>
      <w:r>
        <w:t>表2：养殖类补偿标准表</w:t>
      </w:r>
    </w:p>
    <w:tbl>
      <w:tblPr>
        <w:tblStyle w:val="9"/>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756"/>
        <w:gridCol w:w="1756"/>
        <w:gridCol w:w="1438"/>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shd w:val="clear" w:color="auto" w:fill="auto"/>
            <w:noWrap/>
            <w:vAlign w:val="center"/>
          </w:tcPr>
          <w:p>
            <w:pPr>
              <w:widowControl/>
              <w:jc w:val="center"/>
              <w:rPr>
                <w:rFonts w:ascii="Times New Roman" w:hAnsi="Times New Roman" w:eastAsia="仿宋_GB2312" w:cs="Times New Roman"/>
                <w:b/>
                <w:bCs/>
                <w:color w:val="000000"/>
                <w:kern w:val="0"/>
                <w:sz w:val="22"/>
              </w:rPr>
            </w:pPr>
            <w:r>
              <w:rPr>
                <w:rFonts w:ascii="Times New Roman" w:hAnsi="Times New Roman" w:eastAsia="仿宋_GB2312" w:cs="Times New Roman"/>
                <w:b/>
                <w:bCs/>
                <w:color w:val="000000"/>
                <w:kern w:val="0"/>
                <w:sz w:val="22"/>
              </w:rPr>
              <w:t>序号</w:t>
            </w:r>
          </w:p>
        </w:tc>
        <w:tc>
          <w:tcPr>
            <w:tcW w:w="3512" w:type="dxa"/>
            <w:gridSpan w:val="2"/>
            <w:shd w:val="clear" w:color="auto" w:fill="auto"/>
            <w:noWrap/>
            <w:vAlign w:val="center"/>
          </w:tcPr>
          <w:p>
            <w:pPr>
              <w:widowControl/>
              <w:jc w:val="center"/>
              <w:rPr>
                <w:rFonts w:ascii="Times New Roman" w:hAnsi="Times New Roman" w:eastAsia="仿宋_GB2312" w:cs="Times New Roman"/>
                <w:b/>
                <w:bCs/>
                <w:color w:val="000000"/>
                <w:kern w:val="0"/>
                <w:sz w:val="22"/>
              </w:rPr>
            </w:pPr>
            <w:r>
              <w:rPr>
                <w:rFonts w:ascii="Times New Roman" w:hAnsi="Times New Roman" w:eastAsia="仿宋_GB2312" w:cs="Times New Roman"/>
                <w:b/>
                <w:bCs/>
                <w:color w:val="000000"/>
                <w:kern w:val="0"/>
                <w:sz w:val="22"/>
              </w:rPr>
              <w:t>补偿项目</w:t>
            </w:r>
          </w:p>
        </w:tc>
        <w:tc>
          <w:tcPr>
            <w:tcW w:w="1438" w:type="dxa"/>
            <w:shd w:val="clear" w:color="auto" w:fill="auto"/>
            <w:noWrap/>
            <w:vAlign w:val="center"/>
          </w:tcPr>
          <w:p>
            <w:pPr>
              <w:widowControl/>
              <w:jc w:val="center"/>
              <w:rPr>
                <w:rFonts w:ascii="Times New Roman" w:hAnsi="Times New Roman" w:eastAsia="仿宋_GB2312" w:cs="Times New Roman"/>
                <w:b/>
                <w:bCs/>
                <w:color w:val="000000"/>
                <w:kern w:val="0"/>
                <w:sz w:val="22"/>
              </w:rPr>
            </w:pPr>
            <w:r>
              <w:rPr>
                <w:rFonts w:ascii="Times New Roman" w:hAnsi="Times New Roman" w:eastAsia="仿宋_GB2312" w:cs="Times New Roman"/>
                <w:b/>
                <w:bCs/>
                <w:color w:val="000000"/>
                <w:kern w:val="0"/>
                <w:sz w:val="22"/>
              </w:rPr>
              <w:t>单位</w:t>
            </w:r>
          </w:p>
        </w:tc>
        <w:tc>
          <w:tcPr>
            <w:tcW w:w="2565" w:type="dxa"/>
            <w:shd w:val="clear" w:color="auto" w:fill="auto"/>
            <w:noWrap/>
            <w:vAlign w:val="center"/>
          </w:tcPr>
          <w:p>
            <w:pPr>
              <w:widowControl/>
              <w:jc w:val="center"/>
              <w:rPr>
                <w:rFonts w:ascii="Times New Roman" w:hAnsi="Times New Roman" w:eastAsia="仿宋_GB2312" w:cs="Times New Roman"/>
                <w:b/>
                <w:bCs/>
                <w:color w:val="000000"/>
                <w:kern w:val="0"/>
                <w:sz w:val="22"/>
              </w:rPr>
            </w:pPr>
            <w:r>
              <w:rPr>
                <w:rFonts w:ascii="Times New Roman" w:hAnsi="Times New Roman" w:eastAsia="仿宋_GB2312" w:cs="Times New Roman"/>
                <w:b/>
                <w:bCs/>
                <w:color w:val="000000"/>
                <w:kern w:val="0"/>
                <w:sz w:val="22"/>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w:t>
            </w:r>
          </w:p>
        </w:tc>
        <w:tc>
          <w:tcPr>
            <w:tcW w:w="1756" w:type="dxa"/>
            <w:vMerge w:val="restart"/>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水产类</w:t>
            </w:r>
          </w:p>
        </w:tc>
        <w:tc>
          <w:tcPr>
            <w:tcW w:w="1756"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鱼类</w:t>
            </w:r>
          </w:p>
        </w:tc>
        <w:tc>
          <w:tcPr>
            <w:tcW w:w="1438"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元/亩</w:t>
            </w:r>
          </w:p>
        </w:tc>
        <w:tc>
          <w:tcPr>
            <w:tcW w:w="2565"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1756" w:type="dxa"/>
            <w:vMerge w:val="continue"/>
            <w:vAlign w:val="center"/>
          </w:tcPr>
          <w:p>
            <w:pPr>
              <w:widowControl/>
              <w:jc w:val="left"/>
              <w:rPr>
                <w:rFonts w:ascii="Times New Roman" w:hAnsi="Times New Roman" w:eastAsia="仿宋_GB2312" w:cs="Times New Roman"/>
                <w:color w:val="000000"/>
                <w:kern w:val="0"/>
                <w:sz w:val="22"/>
              </w:rPr>
            </w:pPr>
          </w:p>
        </w:tc>
        <w:tc>
          <w:tcPr>
            <w:tcW w:w="1756"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虾蟹类</w:t>
            </w:r>
          </w:p>
        </w:tc>
        <w:tc>
          <w:tcPr>
            <w:tcW w:w="1438"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元/亩</w:t>
            </w:r>
          </w:p>
        </w:tc>
        <w:tc>
          <w:tcPr>
            <w:tcW w:w="2565"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c>
          <w:tcPr>
            <w:tcW w:w="1756" w:type="dxa"/>
            <w:vMerge w:val="continue"/>
            <w:vAlign w:val="center"/>
          </w:tcPr>
          <w:p>
            <w:pPr>
              <w:widowControl/>
              <w:jc w:val="left"/>
              <w:rPr>
                <w:rFonts w:ascii="Times New Roman" w:hAnsi="Times New Roman" w:eastAsia="仿宋_GB2312" w:cs="Times New Roman"/>
                <w:color w:val="000000"/>
                <w:kern w:val="0"/>
                <w:sz w:val="22"/>
              </w:rPr>
            </w:pPr>
          </w:p>
        </w:tc>
        <w:tc>
          <w:tcPr>
            <w:tcW w:w="1756"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龟鳖类</w:t>
            </w:r>
          </w:p>
        </w:tc>
        <w:tc>
          <w:tcPr>
            <w:tcW w:w="1438"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元/亩</w:t>
            </w:r>
          </w:p>
        </w:tc>
        <w:tc>
          <w:tcPr>
            <w:tcW w:w="2565"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4</w:t>
            </w:r>
          </w:p>
        </w:tc>
        <w:tc>
          <w:tcPr>
            <w:tcW w:w="1756" w:type="dxa"/>
            <w:vMerge w:val="continue"/>
            <w:vAlign w:val="center"/>
          </w:tcPr>
          <w:p>
            <w:pPr>
              <w:widowControl/>
              <w:jc w:val="left"/>
              <w:rPr>
                <w:rFonts w:ascii="Times New Roman" w:hAnsi="Times New Roman" w:eastAsia="仿宋_GB2312" w:cs="Times New Roman"/>
                <w:color w:val="000000"/>
                <w:kern w:val="0"/>
                <w:sz w:val="22"/>
              </w:rPr>
            </w:pPr>
          </w:p>
        </w:tc>
        <w:tc>
          <w:tcPr>
            <w:tcW w:w="1756"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贝壳类</w:t>
            </w:r>
          </w:p>
        </w:tc>
        <w:tc>
          <w:tcPr>
            <w:tcW w:w="1438"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元/亩</w:t>
            </w:r>
          </w:p>
        </w:tc>
        <w:tc>
          <w:tcPr>
            <w:tcW w:w="2565"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8834" w:type="dxa"/>
            <w:gridSpan w:val="5"/>
            <w:shd w:val="clear" w:color="auto" w:fill="auto"/>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注:1.补偿标准统一取整。</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2.征收时局部涉及水产、畜牧场地等养殖类的，按搬迁价格实施补偿。</w:t>
            </w:r>
            <w:r>
              <w:rPr>
                <w:rFonts w:ascii="Times New Roman" w:hAnsi="Times New Roman" w:eastAsia="仿宋_GB2312" w:cs="Times New Roman"/>
                <w:color w:val="000000"/>
                <w:kern w:val="0"/>
                <w:sz w:val="22"/>
              </w:rPr>
              <w:br w:type="textWrapping"/>
            </w:r>
            <w:r>
              <w:rPr>
                <w:rFonts w:ascii="Times New Roman" w:hAnsi="Times New Roman" w:eastAsia="仿宋_GB2312" w:cs="Times New Roman"/>
                <w:color w:val="000000"/>
                <w:kern w:val="0"/>
                <w:sz w:val="22"/>
              </w:rPr>
              <w:t>3.特殊养殖的以及市场价值波动较大，补偿标准不能完全覆盖的，具体补偿实施时可委托第三方专业机构进行评估，评估结果经确认后予以补偿。</w:t>
            </w:r>
          </w:p>
        </w:tc>
      </w:tr>
    </w:tbl>
    <w:p/>
    <w:p>
      <w:pPr>
        <w:widowControl/>
        <w:jc w:val="left"/>
        <w:rPr>
          <w:rFonts w:ascii="Times New Roman" w:hAnsi="Times New Roman" w:eastAsia="仿宋_GB2312" w:cstheme="majorBidi"/>
          <w:b/>
          <w:bCs/>
          <w:sz w:val="32"/>
          <w:szCs w:val="32"/>
        </w:rPr>
      </w:pPr>
      <w:r>
        <w:br w:type="page"/>
      </w:r>
    </w:p>
    <w:p>
      <w:pPr>
        <w:pStyle w:val="3"/>
        <w:jc w:val="center"/>
      </w:pPr>
      <w:r>
        <w:t>表3：建筑物重置价标准表</w:t>
      </w:r>
    </w:p>
    <w:tbl>
      <w:tblPr>
        <w:tblStyle w:val="9"/>
        <w:tblW w:w="8834" w:type="dxa"/>
        <w:jc w:val="center"/>
        <w:tblInd w:w="0" w:type="dxa"/>
        <w:tblLayout w:type="fixed"/>
        <w:tblCellMar>
          <w:top w:w="0" w:type="dxa"/>
          <w:left w:w="108" w:type="dxa"/>
          <w:bottom w:w="0" w:type="dxa"/>
          <w:right w:w="108" w:type="dxa"/>
        </w:tblCellMar>
      </w:tblPr>
      <w:tblGrid>
        <w:gridCol w:w="681"/>
        <w:gridCol w:w="2495"/>
        <w:gridCol w:w="1228"/>
        <w:gridCol w:w="1481"/>
        <w:gridCol w:w="1481"/>
        <w:gridCol w:w="1468"/>
      </w:tblGrid>
      <w:tr>
        <w:tblPrEx>
          <w:tblLayout w:type="fixed"/>
          <w:tblCellMar>
            <w:top w:w="0" w:type="dxa"/>
            <w:left w:w="108" w:type="dxa"/>
            <w:bottom w:w="0" w:type="dxa"/>
            <w:right w:w="108" w:type="dxa"/>
          </w:tblCellMar>
        </w:tblPrEx>
        <w:trPr>
          <w:trHeight w:val="397" w:hRule="atLeast"/>
          <w:jc w:val="center"/>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249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补偿项目</w:t>
            </w:r>
          </w:p>
        </w:tc>
        <w:tc>
          <w:tcPr>
            <w:tcW w:w="122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单位</w:t>
            </w:r>
          </w:p>
        </w:tc>
        <w:tc>
          <w:tcPr>
            <w:tcW w:w="296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补偿标准</w:t>
            </w:r>
          </w:p>
        </w:tc>
        <w:tc>
          <w:tcPr>
            <w:tcW w:w="14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备注</w:t>
            </w:r>
          </w:p>
        </w:tc>
      </w:tr>
      <w:tr>
        <w:tblPrEx>
          <w:tblLayout w:type="fixed"/>
          <w:tblCellMar>
            <w:top w:w="0" w:type="dxa"/>
            <w:left w:w="108" w:type="dxa"/>
            <w:bottom w:w="0" w:type="dxa"/>
            <w:right w:w="108" w:type="dxa"/>
          </w:tblCellMar>
        </w:tblPrEx>
        <w:trPr>
          <w:trHeight w:val="397" w:hRule="atLeast"/>
          <w:jc w:val="center"/>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sz w:val="22"/>
              </w:rPr>
            </w:pPr>
          </w:p>
        </w:tc>
        <w:tc>
          <w:tcPr>
            <w:tcW w:w="249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sz w:val="22"/>
              </w:rPr>
            </w:pPr>
          </w:p>
        </w:tc>
        <w:tc>
          <w:tcPr>
            <w:tcW w:w="122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住宅类</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非住宅类</w:t>
            </w:r>
          </w:p>
        </w:tc>
        <w:tc>
          <w:tcPr>
            <w:tcW w:w="146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2495"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砖混（现浇）结构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1200-1300</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1080-1180</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2495"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砖混（预制）结构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1300-1400</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1180-1280</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2495"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砖混（含轻型钢）结构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400-700</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400-900</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2495"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砖木结构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880-1030</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780-930</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2495"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土木结构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780-930</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680-830</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24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200-400</w:t>
            </w:r>
          </w:p>
        </w:tc>
        <w:tc>
          <w:tcPr>
            <w:tcW w:w="1481"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100-400</w:t>
            </w:r>
          </w:p>
        </w:tc>
        <w:tc>
          <w:tcPr>
            <w:tcW w:w="146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此标准仅针对木楼棚等简易木结构</w:t>
            </w:r>
          </w:p>
        </w:tc>
      </w:tr>
      <w:tr>
        <w:tblPrEx>
          <w:tblLayout w:type="fixed"/>
          <w:tblCellMar>
            <w:top w:w="0" w:type="dxa"/>
            <w:left w:w="108" w:type="dxa"/>
            <w:bottom w:w="0" w:type="dxa"/>
            <w:right w:w="108" w:type="dxa"/>
          </w:tblCellMar>
        </w:tblPrEx>
        <w:trPr>
          <w:trHeight w:val="397" w:hRule="atLeast"/>
          <w:jc w:val="center"/>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2495"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480-580</w:t>
            </w:r>
          </w:p>
        </w:tc>
        <w:tc>
          <w:tcPr>
            <w:tcW w:w="1481"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380-480</w:t>
            </w:r>
          </w:p>
        </w:tc>
        <w:tc>
          <w:tcPr>
            <w:tcW w:w="1468"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24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框架结构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1450-1550</w:t>
            </w:r>
          </w:p>
        </w:tc>
        <w:tc>
          <w:tcPr>
            <w:tcW w:w="1481"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1350-1450</w:t>
            </w:r>
          </w:p>
        </w:tc>
        <w:tc>
          <w:tcPr>
            <w:tcW w:w="1468"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2495" w:type="dxa"/>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半框架结构</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1350-1450</w:t>
            </w:r>
          </w:p>
        </w:tc>
        <w:tc>
          <w:tcPr>
            <w:tcW w:w="1481"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1250-1350</w:t>
            </w:r>
          </w:p>
        </w:tc>
        <w:tc>
          <w:tcPr>
            <w:tcW w:w="1468"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397" w:hRule="atLeast"/>
          <w:jc w:val="center"/>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2495"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活动板房</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200-400</w:t>
            </w:r>
          </w:p>
        </w:tc>
        <w:tc>
          <w:tcPr>
            <w:tcW w:w="1481"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100-400</w:t>
            </w:r>
          </w:p>
        </w:tc>
        <w:tc>
          <w:tcPr>
            <w:tcW w:w="1468" w:type="dxa"/>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Layout w:type="fixed"/>
          <w:tblCellMar>
            <w:top w:w="0" w:type="dxa"/>
            <w:left w:w="108" w:type="dxa"/>
            <w:bottom w:w="0" w:type="dxa"/>
            <w:right w:w="108" w:type="dxa"/>
          </w:tblCellMar>
        </w:tblPrEx>
        <w:trPr>
          <w:trHeight w:val="1519" w:hRule="atLeast"/>
          <w:jc w:val="center"/>
        </w:trPr>
        <w:tc>
          <w:tcPr>
            <w:tcW w:w="88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 w:val="22"/>
              </w:rPr>
            </w:pPr>
            <w:r>
              <w:rPr>
                <w:rFonts w:ascii="Times New Roman" w:hAnsi="Times New Roman" w:eastAsia="仿宋_GB2312" w:cs="Times New Roman"/>
                <w:kern w:val="0"/>
                <w:sz w:val="22"/>
              </w:rPr>
              <w:t>注:1.补偿标准统一取整。</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2.建筑物主要是指住宅、写字楼、厂房等。</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3.补偿标准不能完全覆盖的，具体补偿实施时可委托第三方专业机构进行评估，评估结果经确认后予以补偿。</w:t>
            </w:r>
          </w:p>
        </w:tc>
      </w:tr>
    </w:tbl>
    <w:p/>
    <w:p>
      <w:pPr>
        <w:widowControl/>
        <w:jc w:val="left"/>
        <w:rPr>
          <w:rFonts w:ascii="Times New Roman" w:hAnsi="Times New Roman" w:eastAsia="仿宋_GB2312" w:cstheme="majorBidi"/>
          <w:b/>
          <w:bCs/>
          <w:sz w:val="32"/>
          <w:szCs w:val="32"/>
        </w:rPr>
      </w:pPr>
      <w:r>
        <w:br w:type="page"/>
      </w:r>
    </w:p>
    <w:p>
      <w:pPr>
        <w:pStyle w:val="3"/>
        <w:jc w:val="center"/>
      </w:pPr>
      <w:r>
        <w:t>表4：地上构筑物及其他附属设施补偿标准表</w:t>
      </w:r>
    </w:p>
    <w:tbl>
      <w:tblPr>
        <w:tblStyle w:val="9"/>
        <w:tblW w:w="8834" w:type="dxa"/>
        <w:jc w:val="center"/>
        <w:tblInd w:w="0" w:type="dxa"/>
        <w:tblLayout w:type="fixed"/>
        <w:tblCellMar>
          <w:top w:w="0" w:type="dxa"/>
          <w:left w:w="108" w:type="dxa"/>
          <w:bottom w:w="0" w:type="dxa"/>
          <w:right w:w="108" w:type="dxa"/>
        </w:tblCellMar>
      </w:tblPr>
      <w:tblGrid>
        <w:gridCol w:w="756"/>
        <w:gridCol w:w="1829"/>
        <w:gridCol w:w="2760"/>
        <w:gridCol w:w="7"/>
        <w:gridCol w:w="1666"/>
        <w:gridCol w:w="7"/>
        <w:gridCol w:w="1809"/>
      </w:tblGrid>
      <w:tr>
        <w:tblPrEx>
          <w:tblLayout w:type="fixed"/>
          <w:tblCellMar>
            <w:top w:w="0" w:type="dxa"/>
            <w:left w:w="108" w:type="dxa"/>
            <w:bottom w:w="0" w:type="dxa"/>
            <w:right w:w="108" w:type="dxa"/>
          </w:tblCellMar>
        </w:tblPrEx>
        <w:trPr>
          <w:cantSplit/>
          <w:trHeight w:val="397" w:hRule="atLeast"/>
          <w:tblHeade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459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补偿项目</w:t>
            </w:r>
          </w:p>
        </w:tc>
        <w:tc>
          <w:tcPr>
            <w:tcW w:w="16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单位</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补偿标准</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82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围墙</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乱石垒、土围墙</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60-80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砖、石围墙</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80-100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空斗墙</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70-90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铁皮、铁网围护</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10-45</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8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院（晒）坝、场地</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混凝土</w:t>
            </w:r>
            <w:bookmarkStart w:id="0" w:name="_GoBack"/>
            <w:bookmarkEnd w:id="0"/>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25-35</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三合土</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10-20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砖、石、水泥砂浆</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20-30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石板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15-25</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化粪池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元/立方米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300-400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水井</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土水井</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元/口</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条石水井</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元/口</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压水井（含机械取水）</w:t>
            </w:r>
          </w:p>
        </w:tc>
        <w:tc>
          <w:tcPr>
            <w:tcW w:w="16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元/口</w:t>
            </w:r>
          </w:p>
        </w:tc>
        <w:tc>
          <w:tcPr>
            <w:tcW w:w="1816" w:type="dxa"/>
            <w:gridSpan w:val="2"/>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机井（含抗旱井）</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元/口</w:t>
            </w:r>
          </w:p>
        </w:tc>
        <w:tc>
          <w:tcPr>
            <w:tcW w:w="18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沼气池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大棚（蔬菜棚、花棚等）</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简易棚</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45-55</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塑钢</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55-65</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钢架</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65-75</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临时构筑物</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100-200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灌溉渠</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土渠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80-100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水泥渠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120-150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坟墓类迁移</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土坟</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元/穴</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砖柱、石、水泥修砌</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元/穴</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骨灰盒（金埕、金塔、骨坛、骨埕）</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元/穴</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无主坟墓</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道路</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石灰、沙、碎石地面等</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40-70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水泥地面</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50-80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柏油地面</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60-90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水管</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钢管</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5-10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胶管</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10-15</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电线杆</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木杆</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元/根</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800-1200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路灯杆</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元/根</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500-800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水泥杆</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元/根</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600-1000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桥涵洞</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简易桥</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800-1000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钢筋混凝土矩形桥板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1500-2500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石盖板涵</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500-1000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钢筋混凝土圆管涵</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800-3000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增氧机</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元/台</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500-1800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基塘</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20-50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8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挡土墙</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红砖</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元/立方米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120-190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石砌</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元/立方米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130-200</w:t>
            </w:r>
          </w:p>
        </w:tc>
      </w:tr>
      <w:tr>
        <w:tblPrEx>
          <w:tblLayout w:type="fixed"/>
          <w:tblCellMar>
            <w:top w:w="0" w:type="dxa"/>
            <w:left w:w="108" w:type="dxa"/>
            <w:bottom w:w="0" w:type="dxa"/>
            <w:right w:w="108" w:type="dxa"/>
          </w:tblCellMar>
        </w:tblPrEx>
        <w:trPr>
          <w:cantSplit/>
          <w:trHeight w:val="397"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混凝土</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元/立方米</w:t>
            </w:r>
          </w:p>
        </w:tc>
        <w:tc>
          <w:tcPr>
            <w:tcW w:w="1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140-210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大门亭</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600-800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木楼棚</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120-200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木楼楹</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元/条</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风斗门</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天面水池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大门柱</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钢混飘板、飘檐</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竹蓬棚</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45</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竹蓬屋</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铁蓬棚</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75</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铁棚屋</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灶台</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400-2000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29</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室内厕所</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公厕</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200-300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31</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厝斗</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100-250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32</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女儿墙</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33</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水表</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34</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电表</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500-4500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35</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污水池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36</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消防池</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37</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猪舍</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38</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花岗岩石板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150-250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39</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墙砖</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扇花（刮涂）</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41</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地砖</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100-150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42</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马赛克</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43</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水磨石</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44</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水刷石</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45</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木墙裙</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46</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吊顶木板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47</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塑料板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48</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铝塑板</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49</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铁罩</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130-180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拉闸门</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180-220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51</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防盗门</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52</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楼梯扶手</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元/平方米</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250-400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53</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地磅</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30000-50000</w:t>
            </w:r>
          </w:p>
        </w:tc>
      </w:tr>
      <w:tr>
        <w:tblPrEx>
          <w:tblLayout w:type="fixed"/>
          <w:tblCellMar>
            <w:top w:w="0" w:type="dxa"/>
            <w:left w:w="108" w:type="dxa"/>
            <w:bottom w:w="0" w:type="dxa"/>
            <w:right w:w="108" w:type="dxa"/>
          </w:tblCellMar>
        </w:tblPrEx>
        <w:trPr>
          <w:cantSplit/>
          <w:trHeight w:val="397"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54</w:t>
            </w:r>
          </w:p>
        </w:tc>
        <w:tc>
          <w:tcPr>
            <w:tcW w:w="45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天车</w:t>
            </w:r>
          </w:p>
        </w:tc>
        <w:tc>
          <w:tcPr>
            <w:tcW w:w="16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元/个</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5000</w:t>
            </w:r>
          </w:p>
        </w:tc>
      </w:tr>
      <w:tr>
        <w:tblPrEx>
          <w:tblLayout w:type="fixed"/>
          <w:tblCellMar>
            <w:top w:w="0" w:type="dxa"/>
            <w:left w:w="108" w:type="dxa"/>
            <w:bottom w:w="0" w:type="dxa"/>
            <w:right w:w="108" w:type="dxa"/>
          </w:tblCellMar>
        </w:tblPrEx>
        <w:trPr>
          <w:cantSplit/>
          <w:trHeight w:val="1790" w:hRule="atLeast"/>
          <w:jc w:val="center"/>
        </w:trPr>
        <w:tc>
          <w:tcPr>
            <w:tcW w:w="883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注:1.补偿标准统一取整。</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2.地上构筑物主要是指不具有居住或者生产经营功能的人工建造物，比如道路、桥梁、隧道、水池、水塔、纪念碑等。附属设施主要是指附属于建筑物、构筑物的一些设施。</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3.补偿标准不能完全覆盖的，具体补偿实施时可委托第三方专业机构进行评估，评估结果经确认后予以补偿。</w:t>
            </w:r>
          </w:p>
        </w:tc>
      </w:tr>
    </w:tbl>
    <w:p/>
    <w:sectPr>
      <w:pgSz w:w="11906" w:h="16838"/>
      <w:pgMar w:top="2098" w:right="1474" w:bottom="1985" w:left="1588" w:header="851" w:footer="1588"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w:t>
    </w:r>
    <w:r>
      <w:t xml:space="preserve"> </w:t>
    </w:r>
    <w:sdt>
      <w:sdtPr>
        <w:id w:val="-403768507"/>
        <w:docPartObj>
          <w:docPartGallery w:val="AutoText"/>
        </w:docPartObj>
      </w:sdtPr>
      <w:sdtContent>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hint="eastAsia"/>
          </w:rPr>
          <w:t xml:space="preserve"> </w:t>
        </w:r>
      </w:sdtContent>
    </w:sdt>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282008"/>
      <w:docPartObj>
        <w:docPartGallery w:val="AutoText"/>
      </w:docPartObj>
    </w:sdtPr>
    <w:sdtEndPr>
      <w:rPr>
        <w:rFonts w:ascii="Times New Roman" w:hAnsi="Times New Roman" w:cs="Times New Roman"/>
      </w:rPr>
    </w:sdtEndPr>
    <w:sdtContent>
      <w:p>
        <w:pPr>
          <w:pStyle w:val="4"/>
          <w:rPr>
            <w:rFonts w:ascii="Times New Roman" w:hAnsi="Times New Roman" w:cs="Times New Roman"/>
          </w:rPr>
        </w:pPr>
        <w:r>
          <w:rPr>
            <w:rFonts w:hint="eastAsia"/>
          </w:rPr>
          <w:t>—</w:t>
        </w:r>
        <w:r>
          <w:t xml:space="preserve"> </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hint="eastAsia" w:ascii="Times New Roman" w:hAnsi="Times New Roman" w:cs="Times New Roman"/>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D90"/>
    <w:multiLevelType w:val="multilevel"/>
    <w:tmpl w:val="23BA4D90"/>
    <w:lvl w:ilvl="0" w:tentative="0">
      <w:start w:val="1"/>
      <w:numFmt w:val="chineseCountingThousand"/>
      <w:suff w:val="nothing"/>
      <w:lvlText w:val="第%1条"/>
      <w:lvlJc w:val="left"/>
      <w:pPr>
        <w:ind w:left="1083" w:hanging="440"/>
      </w:pPr>
      <w:rPr>
        <w:rFonts w:hint="eastAsia" w:ascii="楷体_GB2312" w:eastAsia="楷体_GB2312"/>
        <w:b/>
        <w:bCs/>
        <w:color w:val="auto"/>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B928BF"/>
    <w:multiLevelType w:val="multilevel"/>
    <w:tmpl w:val="36B928BF"/>
    <w:lvl w:ilvl="0" w:tentative="0">
      <w:start w:val="1"/>
      <w:numFmt w:val="chineseCountingThousand"/>
      <w:suff w:val="nothing"/>
      <w:lvlText w:val="第%1章"/>
      <w:lvlJc w:val="left"/>
      <w:pPr>
        <w:ind w:left="1083"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B8"/>
    <w:rsid w:val="00011206"/>
    <w:rsid w:val="00013BA8"/>
    <w:rsid w:val="0003120E"/>
    <w:rsid w:val="0006668D"/>
    <w:rsid w:val="0007012C"/>
    <w:rsid w:val="00073912"/>
    <w:rsid w:val="000D1706"/>
    <w:rsid w:val="000F2A06"/>
    <w:rsid w:val="0014706E"/>
    <w:rsid w:val="0017720F"/>
    <w:rsid w:val="002312EB"/>
    <w:rsid w:val="002318B9"/>
    <w:rsid w:val="00284F72"/>
    <w:rsid w:val="002B578C"/>
    <w:rsid w:val="002F6433"/>
    <w:rsid w:val="00314542"/>
    <w:rsid w:val="00385F39"/>
    <w:rsid w:val="0044113D"/>
    <w:rsid w:val="0049296C"/>
    <w:rsid w:val="00497DC0"/>
    <w:rsid w:val="004B0A5C"/>
    <w:rsid w:val="004F490E"/>
    <w:rsid w:val="00545C8E"/>
    <w:rsid w:val="005A3A05"/>
    <w:rsid w:val="00623166"/>
    <w:rsid w:val="00635AC7"/>
    <w:rsid w:val="006E3AF2"/>
    <w:rsid w:val="006F66A1"/>
    <w:rsid w:val="007828C4"/>
    <w:rsid w:val="007B63B8"/>
    <w:rsid w:val="007E3C70"/>
    <w:rsid w:val="007F74EE"/>
    <w:rsid w:val="00907B48"/>
    <w:rsid w:val="009C1179"/>
    <w:rsid w:val="009D1E1B"/>
    <w:rsid w:val="00A330D5"/>
    <w:rsid w:val="00B37411"/>
    <w:rsid w:val="00B60BC4"/>
    <w:rsid w:val="00B75118"/>
    <w:rsid w:val="00BA37D4"/>
    <w:rsid w:val="00BC0A4D"/>
    <w:rsid w:val="00C31F3C"/>
    <w:rsid w:val="00C64382"/>
    <w:rsid w:val="00C700AE"/>
    <w:rsid w:val="00CE5EEC"/>
    <w:rsid w:val="00CF18C1"/>
    <w:rsid w:val="00D238C5"/>
    <w:rsid w:val="00E34612"/>
    <w:rsid w:val="00EA6663"/>
    <w:rsid w:val="00F91CED"/>
    <w:rsid w:val="00FC7BCD"/>
    <w:rsid w:val="00FD6ADE"/>
    <w:rsid w:val="00FE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560" w:lineRule="exact"/>
      <w:outlineLvl w:val="0"/>
    </w:pPr>
    <w:rPr>
      <w:rFonts w:ascii="Times New Roman" w:hAnsi="Times New Roman" w:eastAsia="黑体"/>
      <w:b/>
      <w:bCs/>
      <w:kern w:val="44"/>
      <w:sz w:val="32"/>
      <w:szCs w:val="44"/>
    </w:rPr>
  </w:style>
  <w:style w:type="paragraph" w:styleId="3">
    <w:name w:val="heading 2"/>
    <w:basedOn w:val="1"/>
    <w:next w:val="1"/>
    <w:link w:val="13"/>
    <w:unhideWhenUsed/>
    <w:qFormat/>
    <w:uiPriority w:val="9"/>
    <w:pPr>
      <w:keepNext/>
      <w:keepLines/>
      <w:spacing w:line="560" w:lineRule="exact"/>
      <w:outlineLvl w:val="1"/>
    </w:pPr>
    <w:rPr>
      <w:rFonts w:ascii="Times New Roman" w:hAnsi="Times New Roman" w:eastAsia="仿宋_GB2312" w:cstheme="majorBidi"/>
      <w:b/>
      <w:bCs/>
      <w:sz w:val="32"/>
      <w:szCs w:val="32"/>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character" w:customStyle="1" w:styleId="10">
    <w:name w:val="页眉 字符"/>
    <w:basedOn w:val="6"/>
    <w:link w:val="5"/>
    <w:uiPriority w:val="99"/>
    <w:rPr>
      <w:sz w:val="18"/>
      <w:szCs w:val="18"/>
    </w:rPr>
  </w:style>
  <w:style w:type="character" w:customStyle="1" w:styleId="11">
    <w:name w:val="页脚 字符"/>
    <w:basedOn w:val="6"/>
    <w:link w:val="4"/>
    <w:uiPriority w:val="99"/>
    <w:rPr>
      <w:sz w:val="18"/>
      <w:szCs w:val="18"/>
    </w:rPr>
  </w:style>
  <w:style w:type="character" w:customStyle="1" w:styleId="12">
    <w:name w:val="标题 1 字符"/>
    <w:basedOn w:val="6"/>
    <w:link w:val="2"/>
    <w:uiPriority w:val="9"/>
    <w:rPr>
      <w:rFonts w:ascii="Times New Roman" w:hAnsi="Times New Roman" w:eastAsia="黑体"/>
      <w:b/>
      <w:bCs/>
      <w:kern w:val="44"/>
      <w:sz w:val="32"/>
      <w:szCs w:val="44"/>
    </w:rPr>
  </w:style>
  <w:style w:type="character" w:customStyle="1" w:styleId="13">
    <w:name w:val="标题 2 字符"/>
    <w:basedOn w:val="6"/>
    <w:link w:val="3"/>
    <w:uiPriority w:val="9"/>
    <w:rPr>
      <w:rFonts w:ascii="Times New Roman" w:hAnsi="Times New Roman" w:eastAsia="仿宋_GB2312" w:cstheme="majorBidi"/>
      <w:b/>
      <w:bCs/>
      <w:sz w:val="32"/>
      <w:szCs w:val="32"/>
    </w:rPr>
  </w:style>
  <w:style w:type="paragraph" w:styleId="14">
    <w:name w:val="List Paragraph"/>
    <w:basedOn w:val="1"/>
    <w:qFormat/>
    <w:uiPriority w:val="34"/>
    <w:pPr>
      <w:ind w:firstLine="420" w:firstLineChars="200"/>
    </w:pPr>
  </w:style>
  <w:style w:type="paragraph" w:customStyle="1" w:styleId="1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
    <w:name w:val="font6"/>
    <w:basedOn w:val="1"/>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18">
    <w:name w:val="font7"/>
    <w:basedOn w:val="1"/>
    <w:uiPriority w:val="0"/>
    <w:pPr>
      <w:widowControl/>
      <w:spacing w:before="100" w:beforeAutospacing="1" w:after="100" w:afterAutospacing="1"/>
      <w:jc w:val="left"/>
    </w:pPr>
    <w:rPr>
      <w:rFonts w:ascii="仿宋_GB2312" w:hAnsi="宋体" w:eastAsia="仿宋_GB2312" w:cs="宋体"/>
      <w:b/>
      <w:bCs/>
      <w:kern w:val="0"/>
      <w:sz w:val="22"/>
    </w:rPr>
  </w:style>
  <w:style w:type="paragraph" w:customStyle="1" w:styleId="19">
    <w:name w:val="font8"/>
    <w:basedOn w:val="1"/>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20">
    <w:name w:val="xl65"/>
    <w:basedOn w:val="1"/>
    <w:uiPriority w:val="0"/>
    <w:pPr>
      <w:widowControl/>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21">
    <w:name w:val="xl66"/>
    <w:basedOn w:val="1"/>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22">
    <w:name w:val="xl67"/>
    <w:basedOn w:val="1"/>
    <w:uiPriority w:val="0"/>
    <w:pPr>
      <w:widowControl/>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23">
    <w:name w:val="xl68"/>
    <w:basedOn w:val="1"/>
    <w:uiPriority w:val="0"/>
    <w:pPr>
      <w:widowControl/>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24">
    <w:name w:val="xl69"/>
    <w:basedOn w:val="1"/>
    <w:uiPriority w:val="0"/>
    <w:pPr>
      <w:widowControl/>
      <w:spacing w:before="100" w:beforeAutospacing="1" w:after="100" w:afterAutospacing="1"/>
      <w:textAlignment w:val="center"/>
    </w:pPr>
    <w:rPr>
      <w:rFonts w:ascii="Times New Roman" w:hAnsi="Times New Roman" w:eastAsia="宋体" w:cs="Times New Roman"/>
      <w:color w:val="FF0000"/>
      <w:kern w:val="0"/>
      <w:sz w:val="24"/>
      <w:szCs w:val="24"/>
    </w:rPr>
  </w:style>
  <w:style w:type="paragraph" w:customStyle="1" w:styleId="2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2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7">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28">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9">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2">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4">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5">
    <w:name w:val="xl80"/>
    <w:basedOn w:val="1"/>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8">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3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textAlignment w:val="center"/>
    </w:pPr>
    <w:rPr>
      <w:rFonts w:ascii="Times New Roman" w:hAnsi="Times New Roman" w:eastAsia="宋体" w:cs="Times New Roman"/>
      <w:kern w:val="0"/>
      <w:sz w:val="24"/>
      <w:szCs w:val="24"/>
    </w:rPr>
  </w:style>
  <w:style w:type="paragraph" w:customStyle="1" w:styleId="4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textAlignment w:val="center"/>
    </w:pPr>
    <w:rPr>
      <w:rFonts w:ascii="Times New Roman" w:hAnsi="Times New Roman" w:eastAsia="宋体" w:cs="Times New Roman"/>
      <w:kern w:val="0"/>
      <w:sz w:val="24"/>
      <w:szCs w:val="24"/>
    </w:rPr>
  </w:style>
  <w:style w:type="paragraph" w:customStyle="1" w:styleId="4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2">
    <w:name w:val="xl8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3">
    <w:name w:val="xl8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5">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6">
    <w:name w:val="xl9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7">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8">
    <w:name w:val="xl9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49">
    <w:name w:val="xl9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50">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1">
    <w:name w:val="xl9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2">
    <w:name w:val="xl9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3">
    <w:name w:val="xl9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4">
    <w:name w:val="xl9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5">
    <w:name w:val="xl100"/>
    <w:basedOn w:val="1"/>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6">
    <w:name w:val="xl101"/>
    <w:basedOn w:val="1"/>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7">
    <w:name w:val="xl102"/>
    <w:basedOn w:val="1"/>
    <w:uiPriority w:val="0"/>
    <w:pPr>
      <w:widowControl/>
      <w:pBdr>
        <w:left w:val="single" w:color="auto" w:sz="4" w:space="0"/>
        <w:right w:val="single" w:color="auto" w:sz="4" w:space="0"/>
      </w:pBdr>
      <w:shd w:val="clear" w:color="000000" w:fill="FFF2CC"/>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8">
    <w:name w:val="xl103"/>
    <w:basedOn w:val="1"/>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59">
    <w:name w:val="font9"/>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0">
    <w:name w:val="xl10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1">
    <w:name w:val="xl105"/>
    <w:basedOn w:val="1"/>
    <w:uiPriority w:val="0"/>
    <w:pPr>
      <w:widowControl/>
      <w:pBdr>
        <w:top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910</Words>
  <Characters>5192</Characters>
  <Lines>43</Lines>
  <Paragraphs>12</Paragraphs>
  <TotalTime>4</TotalTime>
  <ScaleCrop>false</ScaleCrop>
  <LinksUpToDate>false</LinksUpToDate>
  <CharactersWithSpaces>6090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2023-04-17T23:38:00Z</dcterms:created>
  <dc:creator>NLi</dc:creator>
  <cp:lastModifiedBy>zzr</cp:lastModifiedBy>
  <dcterms:modified xsi:type="dcterms:W3CDTF">2023-04-21T07:55:07Z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