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 w:val="0"/>
          <w:bCs w:val="0"/>
          <w:color w:val="auto"/>
          <w:kern w:val="21"/>
          <w:szCs w:val="32"/>
          <w:u w:val="single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  <w:lang w:val="en-US" w:eastAsia="zh-CN"/>
        </w:rPr>
        <w:t xml:space="preserve">                   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合同编号：</w:t>
      </w:r>
    </w:p>
    <w:p>
      <w:pPr>
        <w:jc w:val="center"/>
        <w:rPr>
          <w:rFonts w:ascii="宋体-18030" w:hAnsi="宋体-18030" w:eastAsia="宋体-18030" w:cs="宋体-18030"/>
          <w:b w:val="0"/>
          <w:bCs w:val="0"/>
          <w:color w:val="auto"/>
          <w:sz w:val="52"/>
          <w:szCs w:val="44"/>
        </w:rPr>
      </w:pPr>
    </w:p>
    <w:p>
      <w:pPr>
        <w:jc w:val="center"/>
        <w:rPr>
          <w:rFonts w:ascii="宋体-18030" w:hAnsi="宋体-18030" w:eastAsia="宋体-18030" w:cs="宋体-18030"/>
          <w:b/>
          <w:bCs/>
          <w:color w:val="auto"/>
          <w:sz w:val="52"/>
          <w:szCs w:val="44"/>
        </w:rPr>
      </w:pPr>
      <w:r>
        <w:rPr>
          <w:rFonts w:hint="eastAsia" w:ascii="宋体-18030" w:hAnsi="宋体-18030" w:eastAsia="宋体-18030" w:cs="宋体-18030"/>
          <w:b/>
          <w:bCs/>
          <w:color w:val="auto"/>
          <w:sz w:val="52"/>
          <w:szCs w:val="44"/>
        </w:rPr>
        <w:t>采矿权出让合同</w:t>
      </w:r>
    </w:p>
    <w:p>
      <w:pPr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rPr>
          <w:rFonts w:eastAsia="仿宋"/>
          <w:b w:val="0"/>
          <w:bCs w:val="0"/>
          <w:color w:val="auto"/>
          <w:kern w:val="21"/>
          <w:szCs w:val="32"/>
        </w:rPr>
      </w:pPr>
    </w:p>
    <w:tbl>
      <w:tblPr>
        <w:tblStyle w:val="6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甲方（出让人）：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仿宋"/>
                <w:b w:val="0"/>
                <w:bCs w:val="0"/>
                <w:color w:val="auto"/>
                <w:kern w:val="21"/>
                <w:sz w:val="28"/>
                <w:szCs w:val="4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lang w:val="en-US" w:eastAsia="zh-CN"/>
              </w:rPr>
              <w:t>揭阳市自然资源局揭东分局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场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  <w:lang w:eastAsia="zh-CN"/>
              </w:rPr>
              <w:t>　　　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所：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21"/>
                <w:sz w:val="28"/>
                <w:szCs w:val="48"/>
                <w:u w:val="single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lang w:val="en-US" w:eastAsia="zh-CN"/>
              </w:rPr>
              <w:t>揭阳市揭东区滨江路3号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法定代表人</w:t>
            </w:r>
          </w:p>
          <w:p>
            <w:pPr>
              <w:spacing w:line="360" w:lineRule="auto"/>
              <w:jc w:val="distribute"/>
              <w:rPr>
                <w:rFonts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  <w:lang w:eastAsia="zh-CN"/>
              </w:rPr>
              <w:t>（或负责人）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eastAsia="仿宋"/>
                <w:b w:val="0"/>
                <w:bCs w:val="0"/>
                <w:color w:val="auto"/>
                <w:kern w:val="21"/>
                <w:sz w:val="28"/>
                <w:szCs w:val="48"/>
                <w:u w:val="singl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21"/>
                <w:sz w:val="28"/>
                <w:szCs w:val="48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</w:p>
        </w:tc>
        <w:tc>
          <w:tcPr>
            <w:tcW w:w="5670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  <w:b w:val="0"/>
                <w:bCs w:val="0"/>
                <w:color w:val="auto"/>
                <w:kern w:val="21"/>
                <w:sz w:val="28"/>
                <w:szCs w:val="4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乙方（受让人）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21"/>
                <w:sz w:val="28"/>
                <w:szCs w:val="48"/>
                <w:u w:val="single"/>
                <w:lang w:eastAsia="zh-CN"/>
              </w:rPr>
              <w:t>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场　　　　所：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21"/>
                <w:sz w:val="28"/>
                <w:szCs w:val="48"/>
                <w:u w:val="single"/>
                <w:lang w:eastAsia="zh-CN"/>
              </w:rPr>
              <w:t>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21"/>
                <w:sz w:val="28"/>
                <w:szCs w:val="48"/>
              </w:rPr>
              <w:t>法定代表人：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  <w:b w:val="0"/>
                <w:bCs w:val="0"/>
                <w:color w:val="auto"/>
                <w:kern w:val="21"/>
                <w:sz w:val="28"/>
                <w:szCs w:val="48"/>
              </w:rPr>
            </w:pPr>
            <w:r>
              <w:rPr>
                <w:rFonts w:hint="eastAsia" w:eastAsia="仿宋"/>
                <w:b w:val="0"/>
                <w:bCs w:val="0"/>
                <w:color w:val="auto"/>
                <w:kern w:val="21"/>
                <w:sz w:val="28"/>
                <w:szCs w:val="48"/>
                <w:u w:val="single"/>
                <w:lang w:eastAsia="zh-CN"/>
              </w:rPr>
              <w:t>　　　　　　　　　　　　　　　</w:t>
            </w:r>
          </w:p>
        </w:tc>
      </w:tr>
    </w:tbl>
    <w:p>
      <w:pPr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根据《中华人民共和国矿产资源法》《中华人民共和国合同法》《矿产资源开采登记管理办法》《矿业权出让收益征收管理暂行办法》《矿业权出让制度改革方案》《关于完善矿产资源开采审批登记管理有关事项的通知》《矿业权交易规则》等相关规定，甲乙双方经协商一致订立本合同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第一条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采矿权基本情况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  <w:u w:val="single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（一）项目名称：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广东省揭阳市揭东区龙尾镇高明-石坑矿区建筑用花岗岩矿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（二）矿　　种：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建筑用花岗岩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　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（三）地理位置：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龙尾镇高明-石坑矿区位于揭阳市区以西278°方向，直线距离约22.9km处，矿区中心点地理坐标：东经116°06′58″，北纬23°35′52″。行政区划隶属揭阳市揭东区龙尾镇管辖。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（四）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开采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储量：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根据《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广东省揭阳市揭东区龙尾镇高明-石坑矿区建筑用花岗岩矿矿产资源开发利用方案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》，可开采建筑用花岗岩548.68万m³，含建设用砂全风化花岗岩855.48万m³，半风化花岗岩153.79万m³，残破积层48.08万m³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（五）面　　积：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　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>0.4113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平方公里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（六）范围坐标（2000国家大地坐标系）：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961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bookmarkStart w:id="0" w:name="_Toc31342"/>
            <w:r>
              <w:rPr>
                <w:rFonts w:ascii="Times New Roman" w:hAnsi="Times New Roman" w:cs="Times New Roman"/>
                <w:color w:val="auto"/>
                <w:szCs w:val="21"/>
              </w:rPr>
              <w:t>拐点</w:t>
            </w:r>
          </w:p>
        </w:tc>
        <w:tc>
          <w:tcPr>
            <w:tcW w:w="57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2000国家大地坐标系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X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2611149.74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39410073.78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2610929.88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39410260.86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3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2610910.65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39410376.00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4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2610832.74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39410426.40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5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2610535.51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39410239.70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6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2610442.64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39410408.75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7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2610278.86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39410382.81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8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2610213.75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39410385.18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9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2610050.45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39410179.33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10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2610140.96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39410057.97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11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2610186.27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39410039.37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12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2610287.82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39409914.45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2610710.92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39409754.07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2610913.44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39410016.37</w:t>
            </w:r>
          </w:p>
        </w:tc>
      </w:tr>
      <w:bookmarkEnd w:id="0"/>
    </w:tbl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（七）开采标高：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>+217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米至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>+50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米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第二条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出让方式</w:t>
      </w:r>
    </w:p>
    <w:p>
      <w:pPr>
        <w:ind w:firstLine="640" w:firstLineChars="200"/>
        <w:rPr>
          <w:rFonts w:eastAsia="仿宋"/>
          <w:bCs/>
          <w:color w:val="auto"/>
          <w:kern w:val="21"/>
          <w:szCs w:val="32"/>
        </w:rPr>
      </w:pPr>
      <w:r>
        <w:rPr>
          <w:rFonts w:hint="eastAsia" w:eastAsia="仿宋"/>
          <w:bCs/>
          <w:color w:val="auto"/>
          <w:kern w:val="21"/>
          <w:szCs w:val="32"/>
        </w:rPr>
        <w:t>采矿权以挂牌方式出让。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第三条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出让年限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年(生产期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年，基建期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年，矿山矿山地质环境保护与土地复垦期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，到期后不再办理延续登记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采矿权出让年限自甲方首次批准乙方矿产资源开采登记之日起，至矿山停办、关闭、注销止。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第四条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矿业权出让收益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（一）矿业权出让收益为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</w:rPr>
        <w:t>人民币：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　　　　　　　　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元（大写：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eastAsia="zh-CN"/>
        </w:rPr>
        <w:t>　　　　　　　　　　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）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。</w:t>
      </w:r>
    </w:p>
    <w:p>
      <w:pPr>
        <w:pStyle w:val="3"/>
        <w:ind w:firstLineChars="200"/>
        <w:jc w:val="left"/>
        <w:rPr>
          <w:rFonts w:hint="eastAsia" w:ascii="仿宋_GB2312" w:hAnsi="宋体" w:cs="仿宋_GB2312"/>
          <w:color w:val="auto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u w:val="none"/>
          <w:lang w:eastAsia="zh-CN"/>
        </w:rPr>
        <w:t>（二）</w:t>
      </w:r>
      <w:r>
        <w:rPr>
          <w:rFonts w:hint="eastAsia" w:ascii="仿宋_GB2312" w:hAnsi="宋体" w:eastAsia="仿宋_GB2312" w:cs="仿宋_GB2312"/>
          <w:color w:val="auto"/>
          <w:u w:val="none"/>
        </w:rPr>
        <w:t>本合同项下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</w:rPr>
        <w:t>采矿权</w:t>
      </w:r>
      <w:r>
        <w:rPr>
          <w:rFonts w:hint="eastAsia" w:ascii="仿宋_GB2312" w:hAnsi="宋体" w:eastAsia="仿宋_GB2312" w:cs="仿宋_GB2312"/>
          <w:color w:val="auto"/>
          <w:u w:val="none"/>
        </w:rPr>
        <w:t>的定金</w:t>
      </w:r>
      <w:r>
        <w:rPr>
          <w:rFonts w:hint="eastAsia" w:ascii="仿宋_GB2312" w:hAnsi="宋体" w:cs="仿宋_GB2312"/>
          <w:color w:val="auto"/>
          <w:u w:val="none"/>
          <w:lang w:eastAsia="zh-CN"/>
        </w:rPr>
        <w:t>（出让收益</w:t>
      </w:r>
      <w:r>
        <w:rPr>
          <w:rFonts w:hint="eastAsia" w:ascii="仿宋_GB2312" w:hAnsi="宋体" w:cs="仿宋_GB2312"/>
          <w:color w:val="auto"/>
          <w:u w:val="none"/>
          <w:lang w:val="en-US" w:eastAsia="zh-CN"/>
        </w:rPr>
        <w:t>20%）</w:t>
      </w:r>
      <w:r>
        <w:rPr>
          <w:rFonts w:hint="eastAsia" w:ascii="仿宋_GB2312" w:hAnsi="宋体" w:eastAsia="仿宋_GB2312" w:cs="仿宋_GB2312"/>
          <w:color w:val="auto"/>
          <w:u w:val="none"/>
        </w:rPr>
        <w:t>为人民币</w:t>
      </w:r>
      <w:r>
        <w:rPr>
          <w:rFonts w:hint="eastAsia" w:ascii="仿宋_GB2312" w:hAnsi="宋体" w:cs="仿宋_GB2312"/>
          <w:color w:val="auto"/>
          <w:u w:val="none"/>
          <w:lang w:val="en-US" w:eastAsia="zh-CN"/>
        </w:rPr>
        <w:t xml:space="preserve">   </w:t>
      </w:r>
    </w:p>
    <w:p>
      <w:pPr>
        <w:pStyle w:val="3"/>
        <w:jc w:val="left"/>
        <w:rPr>
          <w:color w:val="auto"/>
        </w:rPr>
      </w:pPr>
      <w:r>
        <w:rPr>
          <w:rFonts w:hint="default" w:ascii="仿宋_GB2312" w:hAnsi="宋体" w:eastAsia="仿宋_GB2312" w:cs="仿宋_GB2312"/>
          <w:color w:val="auto"/>
          <w:u w:val="single"/>
        </w:rPr>
        <w:t xml:space="preserve"> </w:t>
      </w:r>
      <w:r>
        <w:rPr>
          <w:rFonts w:hint="default" w:ascii="仿宋_GB2312" w:hAnsi="宋体" w:cs="仿宋_GB2312"/>
          <w:color w:val="auto"/>
          <w:u w:val="single"/>
        </w:rPr>
        <w:t xml:space="preserve">   </w:t>
      </w:r>
      <w:r>
        <w:rPr>
          <w:rFonts w:hint="eastAsia" w:ascii="仿宋_GB2312" w:hAnsi="宋体" w:cs="仿宋_GB2312"/>
          <w:color w:val="auto"/>
          <w:u w:val="single"/>
          <w:lang w:val="en-US" w:eastAsia="zh-CN"/>
        </w:rPr>
        <w:t xml:space="preserve"> </w:t>
      </w:r>
      <w:r>
        <w:rPr>
          <w:rFonts w:hint="default" w:ascii="仿宋_GB2312" w:hAnsi="宋体" w:cs="仿宋_GB2312"/>
          <w:color w:val="auto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  <w:u w:val="single"/>
        </w:rPr>
        <w:t>元（大写</w:t>
      </w:r>
      <w:r>
        <w:rPr>
          <w:rFonts w:hint="eastAsia" w:ascii="仿宋_GB2312" w:hAnsi="宋体" w:cs="仿宋_GB2312"/>
          <w:color w:val="auto"/>
          <w:u w:val="single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color w:val="auto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u w:val="single"/>
        </w:rPr>
        <w:t>元），</w:t>
      </w:r>
      <w:r>
        <w:rPr>
          <w:rFonts w:hint="eastAsia" w:ascii="仿宋_GB2312" w:hAnsi="宋体" w:eastAsia="仿宋_GB2312" w:cs="仿宋_GB2312"/>
          <w:color w:val="auto"/>
          <w:u w:val="none"/>
        </w:rPr>
        <w:t>定金抵作出让价款。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（三）缴纳方式：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采矿权出让收益按以下第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 xml:space="preserve">    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种方式缴纳，缴款时间以缴款通知书或合同约定时间为准。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l．一次性缴纳。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2．分期缴纳。首次缴纳人民币：</w:t>
      </w:r>
      <w:r>
        <w:rPr>
          <w:rFonts w:hint="eastAsia" w:eastAsia="仿宋"/>
          <w:b w:val="0"/>
          <w:bCs w:val="0"/>
          <w:strike/>
          <w:dstrike w:val="0"/>
          <w:color w:val="auto"/>
          <w:kern w:val="21"/>
          <w:szCs w:val="32"/>
          <w:u w:val="none"/>
          <w:lang w:val="en-US" w:eastAsia="zh-CN"/>
        </w:rPr>
        <w:t xml:space="preserve">    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元（大写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元）；剩余部分在采矿权有效期内分年缴纳，每年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 xml:space="preserve">  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月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 xml:space="preserve">   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日前缴纳人民币：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 xml:space="preserve">         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 xml:space="preserve"> 元（大写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  <w:lang w:val="en-US" w:eastAsia="zh-CN"/>
        </w:rPr>
        <w:t>元）。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第五条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甲方权利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（一）乙方未按时足额缴纳矿业权出让收益的，县级以上自然资源主管部门按照征收管理权限责令改正，从滞纳之日起每日加收千分之二的滞纳金，并将相关信息纳入企业诚信系统。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u w:val="none"/>
          <w:lang w:eastAsia="zh-CN"/>
        </w:rPr>
        <w:t>延期付款超过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60日且</w:t>
      </w:r>
      <w:r>
        <w:rPr>
          <w:rFonts w:hint="eastAsia" w:eastAsia="仿宋"/>
          <w:b w:val="0"/>
          <w:bCs w:val="0"/>
          <w:color w:val="auto"/>
          <w:kern w:val="21"/>
          <w:sz w:val="32"/>
          <w:szCs w:val="32"/>
          <w:u w:val="none"/>
          <w:lang w:eastAsia="zh-CN"/>
        </w:rPr>
        <w:t>拒不改正的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，甲方有权解除本合同，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竞买保证金或定金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不予返还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。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（二）在约定期限内，乙方未向甲方申请办理矿产资源开采登记的，甲方有权解除本合同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，定金不予返还。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（三）因开采许可所依据的客观情况发生重大变化，为了公共利益的需要，颁发采矿许可证的行政机关依法撤回采矿许可的，甲方有权解除本合同。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第六条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甲方义务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（一）甲方应将出让合同告知矿业权出让收益征收机关，并提请其开具缴款通知书，通知乙方缴款。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（二）在本合同生效期间，甲方不得将全部或者部分出让范围另行向第三方出让。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（三）对于乙方符合法定条件、标准的矿产资源开采登记申请，甲方应在法定时限内为乙方办理矿产资源开采登记手续。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（四）因开采许可所依据的客观情况发生重大变化，为了公共利益的需要，颁发采矿许可证的行政机关依法撤回采矿许可的，甲方在解除本合同的同时应按规定妥善处置采矿权。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第七条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乙方权利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（一）依据本合同，乙方有权向甲方申请办理矿产资源开采登记。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（二）甲方未按照合同的约定移交矿区、颁发采矿许可证的，乙方有权解除本合同。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三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）乙方缴清矿业权出让收益后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，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符合允许办理转让变更情形的，有权依法依规转让采矿权。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四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）因国家政策调整、重大自然灾害和破产清算等原因注销采矿许可证的，乙方有权申请按照实际动用的资源储量进行矿业权出让收益核定，并依据相关规定实行多退少补。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第八条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乙方义务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</w:t>
      </w:r>
      <w:r>
        <w:rPr>
          <w:rFonts w:hint="eastAsia" w:eastAsia="仿宋"/>
          <w:color w:val="auto"/>
          <w:kern w:val="21"/>
          <w:szCs w:val="32"/>
        </w:rPr>
        <w:t>乙方在收到矿业权出让收益缴款通知书</w:t>
      </w:r>
      <w:r>
        <w:rPr>
          <w:rFonts w:hint="eastAsia" w:eastAsia="仿宋"/>
          <w:color w:val="auto"/>
          <w:kern w:val="21"/>
          <w:szCs w:val="32"/>
          <w:u w:val="single"/>
          <w:lang w:val="en-US" w:eastAsia="zh-CN"/>
        </w:rPr>
        <w:t xml:space="preserve"> 7 </w:t>
      </w:r>
      <w:r>
        <w:rPr>
          <w:rFonts w:hint="eastAsia" w:eastAsia="仿宋"/>
          <w:color w:val="auto"/>
          <w:kern w:val="21"/>
          <w:szCs w:val="32"/>
          <w:u w:val="none"/>
          <w:lang w:val="en-US" w:eastAsia="zh-CN"/>
        </w:rPr>
        <w:t>个工作</w:t>
      </w:r>
      <w:r>
        <w:rPr>
          <w:rFonts w:hint="eastAsia" w:eastAsia="仿宋"/>
          <w:color w:val="auto"/>
          <w:kern w:val="21"/>
          <w:szCs w:val="32"/>
        </w:rPr>
        <w:t>日内，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按缴款通知及时缴纳矿业权出让收益。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（二）自本合同签订之日起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  <w:lang w:val="en-US" w:eastAsia="zh-CN"/>
        </w:rPr>
        <w:t>12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</w:rPr>
        <w:t>个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月内，乙方应向甲方申请办理矿产资源开采登记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（三）在未取得采矿许可证前或者采矿许可证超出有效期限的，乙方不得在出让范围内开采矿产资源。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四）乙方在持有采矿许可证期间，应严格遵守矿产资源法律法规、相关矿业权管理政策，依法有效保护、合理开采、综合利用矿产资源，认真履行资源税与矿业权占用费缴纳、矿山地质环境保护与土地复垦等义务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（五）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乙方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取得采矿许可证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后，应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严格按照《广东省国土资源厅 广东省财政厅 广东省环境保护厅关于加快建设绿色矿山的通知》（粤国土资规字〔2017〕6号）的要求建设绿色矿山。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乙方在开采活动中应依法保护生态环境，严格按照评审通过的矿山设计或开发利用方案实施开采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；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严格落实评审通过的矿山地质环境与土地复垦方案要求，做好矿山地质环境治理恢复和土地复垦等工作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；在开采活动中造成地质灾害隐患或诱发地质灾害事故的，应当及时做好地质灾害治理工作。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六）乙方在采矿许可证有效期内决定停办、关闭矿山的，应及时与甲方协商解除本合同，依法申请办理采矿权注销手续；对于开采活动产生的矿山地质环境保护与土地复垦义务，乙方应继续依法履行，不得因出让合同解除、采矿权注销而停止履行义务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（七）领取采矿许可证后，乙方应自行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向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有关部门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申请办理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涉及用地、用林、用路、生态环境保护、水土保持、安全生产等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许可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事项。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第九条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违约责任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（一）甲方违反本合同约定，造成乙方合法权益损害的，乙方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可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向人民法院提起行政诉讼。</w:t>
      </w:r>
    </w:p>
    <w:p>
      <w:pPr>
        <w:ind w:firstLine="640" w:firstLineChars="200"/>
        <w:rPr>
          <w:rFonts w:hint="eastAsia"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（二）乙方违反本合同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有关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约定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的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，未按时足额缴纳矿业权出让收益的，从滞纳之日起每日加收千分之二的滞纳金，并将相关信息纳入企业诚信系统。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u w:val="none"/>
          <w:lang w:eastAsia="zh-CN"/>
        </w:rPr>
        <w:t>延期付款超过</w:t>
      </w:r>
      <w:r>
        <w:rPr>
          <w:rFonts w:hint="eastAsia" w:ascii="仿宋" w:hAnsi="仿宋" w:eastAsia="仿宋" w:cs="仿宋"/>
          <w:b w:val="0"/>
          <w:bCs w:val="0"/>
          <w:color w:val="auto"/>
          <w:kern w:val="21"/>
          <w:sz w:val="32"/>
          <w:szCs w:val="32"/>
          <w:u w:val="none"/>
          <w:lang w:val="en-US" w:eastAsia="zh-CN"/>
        </w:rPr>
        <w:t>60日且</w:t>
      </w:r>
      <w:r>
        <w:rPr>
          <w:rFonts w:hint="eastAsia" w:eastAsia="仿宋"/>
          <w:b w:val="0"/>
          <w:bCs w:val="0"/>
          <w:color w:val="auto"/>
          <w:kern w:val="21"/>
          <w:sz w:val="32"/>
          <w:szCs w:val="32"/>
          <w:u w:val="none"/>
          <w:lang w:eastAsia="zh-CN"/>
        </w:rPr>
        <w:t>拒不改正的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，甲方有权解除本合同，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竞买保证金或定金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不予返还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。</w:t>
      </w:r>
    </w:p>
    <w:p>
      <w:pPr>
        <w:ind w:firstLine="640" w:firstLineChars="200"/>
        <w:rPr>
          <w:color w:val="auto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三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）在约定期限内，乙方未向</w:t>
      </w:r>
      <w:r>
        <w:rPr>
          <w:rFonts w:hint="eastAsia" w:eastAsia="仿宋"/>
          <w:color w:val="auto"/>
          <w:kern w:val="21"/>
          <w:szCs w:val="32"/>
          <w:u w:val="none"/>
        </w:rPr>
        <w:t>（</w:t>
      </w:r>
      <w:r>
        <w:rPr>
          <w:rFonts w:hint="eastAsia" w:ascii="仿宋" w:hAnsi="仿宋" w:eastAsia="仿宋" w:cs="仿宋"/>
          <w:color w:val="auto"/>
          <w:kern w:val="32"/>
          <w:sz w:val="32"/>
          <w:szCs w:val="32"/>
          <w:u w:val="none"/>
          <w:lang w:eastAsia="zh-CN"/>
        </w:rPr>
        <w:t>揭阳市</w:t>
      </w:r>
      <w:r>
        <w:rPr>
          <w:rFonts w:hint="eastAsia" w:ascii="仿宋" w:hAnsi="仿宋" w:eastAsia="仿宋" w:cs="仿宋"/>
          <w:color w:val="auto"/>
          <w:kern w:val="32"/>
          <w:sz w:val="32"/>
          <w:szCs w:val="32"/>
          <w:u w:val="none"/>
        </w:rPr>
        <w:t>自然资源局</w:t>
      </w:r>
      <w:r>
        <w:rPr>
          <w:rFonts w:hint="eastAsia" w:ascii="仿宋" w:hAnsi="仿宋" w:eastAsia="仿宋" w:cs="仿宋"/>
          <w:color w:val="auto"/>
          <w:kern w:val="32"/>
          <w:sz w:val="32"/>
          <w:szCs w:val="32"/>
          <w:u w:val="none"/>
          <w:lang w:eastAsia="zh-CN"/>
        </w:rPr>
        <w:t>揭东分局</w:t>
      </w:r>
      <w:r>
        <w:rPr>
          <w:rFonts w:hint="eastAsia" w:eastAsia="仿宋"/>
          <w:color w:val="auto"/>
          <w:kern w:val="21"/>
          <w:szCs w:val="32"/>
          <w:u w:val="none"/>
        </w:rPr>
        <w:t>）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none"/>
        </w:rPr>
        <w:t>申请办理矿产资源开采登记的，甲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方有权解除本合同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，定金不予返还。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四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）乙方违反本合同约定，在未取得采矿许可证或者采矿许可证超出有效期限，在出让范围内开采矿产资源的，由相关自然资源主管部门依法进行查处。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第十条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其他约定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（一）乙方办理矿产资源开采登记成为采矿权人后，因开采活动违反相关规定产生的违法违规行为，由相关主管部门依法依规进行处理处罚，具体内容不在合同中约定。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（二）乙方采矿权被注销，或者违反法律法规被吊销采矿许可证，或者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出让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期满，本合同自动解除。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三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）乙方违反本合同约定，导致本合同被甲方单方解除或自动解除的，乙方缴交的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与本合同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相关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的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费用不予退还。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（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四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）乙方应当自行承担下列可能存在的风险：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1.由于地质条件的复杂性和勘查工作的局限性，出让的采矿权矿区范围内资源储量与实际情况可能存在差异；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2.矿产资源规划、产业政策调整等因素对矿业权人行使权利义务的影响；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3.生态和环境保护、地质灾害防治、安全生产要求等对特定采矿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选矿方式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方法的限制；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  <w:lang w:val="en-US" w:eastAsia="zh-CN"/>
        </w:rPr>
        <w:t>4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.不可抗力的影响。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第十一条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本合同未尽事宜，按照相关法律法规的规定执行。法律法规没有规定的，双方经协商一致后，可另行签订补充协议。补充协议与本合同具有同等法律效力。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第十二条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因本合同引起纠纷的，由争议双方协商解决，协商不成的，双方同意向有管辖权的人民法院提起诉讼。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第十</w:t>
      </w: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  <w:lang w:eastAsia="zh-CN"/>
        </w:rPr>
        <w:t>三</w:t>
      </w:r>
      <w:r>
        <w:rPr>
          <w:rFonts w:hint="eastAsia" w:ascii="黑体" w:hAnsi="黑体" w:eastAsia="黑体"/>
          <w:b w:val="0"/>
          <w:bCs w:val="0"/>
          <w:color w:val="auto"/>
          <w:kern w:val="21"/>
          <w:szCs w:val="32"/>
        </w:rPr>
        <w:t>条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　本合同一式六份，甲乙双方各持三份，签字盖章后生效。</w:t>
      </w:r>
    </w:p>
    <w:p>
      <w:pPr>
        <w:ind w:firstLine="640" w:firstLineChars="200"/>
        <w:rPr>
          <w:rFonts w:hint="default" w:eastAsia="仿宋"/>
          <w:b w:val="0"/>
          <w:bCs w:val="0"/>
          <w:color w:val="auto"/>
          <w:kern w:val="21"/>
          <w:szCs w:val="32"/>
          <w:lang w:val="en-US" w:eastAsia="zh-CN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（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val="en-US" w:eastAsia="zh-CN"/>
        </w:rPr>
        <w:t>本页为签署页）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pStyle w:val="2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pStyle w:val="2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pStyle w:val="2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pStyle w:val="2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pStyle w:val="2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  <w:u w:val="single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甲方</w:t>
      </w:r>
      <w:r>
        <w:rPr>
          <w:rFonts w:hint="eastAsia" w:eastAsia="仿宋"/>
          <w:b w:val="0"/>
          <w:bCs w:val="0"/>
          <w:color w:val="auto"/>
          <w:kern w:val="21"/>
          <w:szCs w:val="32"/>
          <w:lang w:eastAsia="zh-CN"/>
        </w:rPr>
        <w:t>或甲方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委托代理方（盖章）：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　　　　　　　　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法定代表人或授权委托人（签字）：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　　　　　　　　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时　　　　间：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　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年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月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日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乙方（盖章）：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　　　　　　　　</w:t>
      </w: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</w:p>
    <w:p>
      <w:pPr>
        <w:ind w:firstLine="640" w:firstLineChars="200"/>
        <w:rPr>
          <w:rFonts w:eastAsia="仿宋"/>
          <w:b w:val="0"/>
          <w:bCs w:val="0"/>
          <w:color w:val="auto"/>
          <w:kern w:val="21"/>
          <w:szCs w:val="32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法定代表人或授权委托人（签字）：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　　　　　　　　</w:t>
      </w:r>
    </w:p>
    <w:p>
      <w:pPr>
        <w:ind w:firstLine="640" w:firstLineChars="200"/>
        <w:rPr>
          <w:b w:val="0"/>
          <w:bCs w:val="0"/>
          <w:color w:val="auto"/>
        </w:rPr>
      </w:pPr>
      <w:r>
        <w:rPr>
          <w:rFonts w:hint="eastAsia" w:eastAsia="仿宋"/>
          <w:b w:val="0"/>
          <w:bCs w:val="0"/>
          <w:color w:val="auto"/>
          <w:kern w:val="21"/>
          <w:szCs w:val="32"/>
        </w:rPr>
        <w:t>时　　　　间：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　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年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月</w:t>
      </w:r>
      <w:r>
        <w:rPr>
          <w:rFonts w:hint="eastAsia" w:eastAsia="仿宋"/>
          <w:b w:val="0"/>
          <w:bCs w:val="0"/>
          <w:color w:val="auto"/>
          <w:kern w:val="21"/>
          <w:szCs w:val="32"/>
          <w:u w:val="single"/>
        </w:rPr>
        <w:t>　　</w:t>
      </w:r>
      <w:r>
        <w:rPr>
          <w:rFonts w:hint="eastAsia" w:eastAsia="仿宋"/>
          <w:b w:val="0"/>
          <w:bCs w:val="0"/>
          <w:color w:val="auto"/>
          <w:kern w:val="21"/>
          <w:szCs w:val="32"/>
        </w:rPr>
        <w:t>日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985" w:right="1474" w:bottom="1814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WFkYWMyNWRiMzU5OWVhMmM1ZGM1MmQwNmFkZmQifQ=="/>
  </w:docVars>
  <w:rsids>
    <w:rsidRoot w:val="4AA40BC0"/>
    <w:rsid w:val="0F8553F3"/>
    <w:rsid w:val="33430B91"/>
    <w:rsid w:val="4AA40BC0"/>
    <w:rsid w:val="78842835"/>
    <w:rsid w:val="7A921A92"/>
    <w:rsid w:val="7D5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Plain Text"/>
    <w:basedOn w:val="1"/>
    <w:qFormat/>
    <w:uiPriority w:val="0"/>
    <w:rPr>
      <w:rFonts w:hint="default" w:ascii="宋体" w:hAnsi="Courier New" w:cs="宋体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2022-10-23T03:53:00Z</dcterms:created>
  <dc:creator>Administrator</dc:creator>
  <cp:lastModifiedBy>李隆基</cp:lastModifiedBy>
  <cp:lastPrinted>2022-10-27T04:55:00Z</cp:lastPrinted>
  <dcterms:modified xsi:type="dcterms:W3CDTF">2023-10-26T13:48:01Z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4394F250566E4CFB9C404780C8EBB8E3</vt:lpwstr>
  </property>
</Properties>
</file>